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42" w:rsidRPr="00A06642" w:rsidRDefault="00A06642" w:rsidP="00B903A3">
      <w:pPr>
        <w:autoSpaceDE w:val="0"/>
        <w:jc w:val="both"/>
        <w:rPr>
          <w:b/>
          <w:bCs/>
          <w:sz w:val="28"/>
          <w:szCs w:val="28"/>
        </w:rPr>
      </w:pPr>
      <w:r w:rsidRPr="00A06642">
        <w:rPr>
          <w:b/>
          <w:bCs/>
          <w:sz w:val="28"/>
          <w:szCs w:val="28"/>
        </w:rPr>
        <w:t xml:space="preserve">Status report for Month </w:t>
      </w:r>
      <w:r w:rsidR="00D66124">
        <w:rPr>
          <w:b/>
          <w:bCs/>
          <w:sz w:val="28"/>
          <w:szCs w:val="28"/>
        </w:rPr>
        <w:t>16</w:t>
      </w:r>
      <w:r w:rsidRPr="00A06642">
        <w:rPr>
          <w:b/>
          <w:bCs/>
          <w:sz w:val="28"/>
          <w:szCs w:val="28"/>
        </w:rPr>
        <w:t xml:space="preserve"> (</w:t>
      </w:r>
      <w:r w:rsidR="00D66124">
        <w:rPr>
          <w:b/>
          <w:bCs/>
          <w:sz w:val="28"/>
          <w:szCs w:val="28"/>
        </w:rPr>
        <w:t>April 2010</w:t>
      </w:r>
      <w:r w:rsidRPr="00A06642">
        <w:rPr>
          <w:b/>
          <w:bCs/>
          <w:sz w:val="28"/>
          <w:szCs w:val="28"/>
        </w:rPr>
        <w:t>):</w:t>
      </w:r>
    </w:p>
    <w:p w:rsidR="00A06642" w:rsidRDefault="00A06642" w:rsidP="00B903A3">
      <w:pPr>
        <w:autoSpaceDE w:val="0"/>
        <w:jc w:val="both"/>
        <w:rPr>
          <w:b/>
          <w:bCs/>
        </w:rPr>
      </w:pPr>
    </w:p>
    <w:p w:rsidR="00B903A3" w:rsidRDefault="00B903A3" w:rsidP="00B903A3">
      <w:pPr>
        <w:autoSpaceDE w:val="0"/>
        <w:jc w:val="both"/>
        <w:rPr>
          <w:b/>
          <w:bCs/>
        </w:rPr>
      </w:pPr>
      <w:r>
        <w:rPr>
          <w:b/>
          <w:bCs/>
        </w:rPr>
        <w:t>WP3: Impact on the food-</w:t>
      </w:r>
      <w:r w:rsidRPr="00D83EA5">
        <w:rPr>
          <w:b/>
          <w:bCs/>
        </w:rPr>
        <w:t xml:space="preserve">web (DTU, BNI, </w:t>
      </w:r>
      <w:r>
        <w:rPr>
          <w:b/>
          <w:bCs/>
        </w:rPr>
        <w:t xml:space="preserve">IOW, </w:t>
      </w:r>
      <w:r w:rsidRPr="00D83EA5">
        <w:rPr>
          <w:b/>
          <w:bCs/>
        </w:rPr>
        <w:t xml:space="preserve">TMBL, IOPAS) </w:t>
      </w:r>
    </w:p>
    <w:p w:rsidR="00B903A3" w:rsidRDefault="00B903A3" w:rsidP="00B903A3">
      <w:pPr>
        <w:autoSpaceDE w:val="0"/>
        <w:jc w:val="both"/>
        <w:rPr>
          <w:bCs/>
          <w:lang w:val="en-GB"/>
        </w:rPr>
      </w:pPr>
    </w:p>
    <w:p w:rsidR="00B903A3" w:rsidRDefault="00B903A3" w:rsidP="00B903A3">
      <w:pPr>
        <w:autoSpaceDE w:val="0"/>
        <w:jc w:val="both"/>
        <w:rPr>
          <w:b/>
          <w:bCs/>
          <w:lang w:val="en-GB"/>
        </w:rPr>
      </w:pPr>
      <w:r>
        <w:rPr>
          <w:b/>
          <w:bCs/>
          <w:lang w:val="en-GB"/>
        </w:rPr>
        <w:t>Task 3.1: Process validation of food-web models (1-24)</w:t>
      </w:r>
    </w:p>
    <w:p w:rsidR="00B903A3" w:rsidRDefault="00B903A3" w:rsidP="00B903A3">
      <w:pPr>
        <w:autoSpaceDE w:val="0"/>
        <w:rPr>
          <w:b/>
          <w:bCs/>
          <w:lang w:val="en-GB"/>
        </w:rPr>
      </w:pPr>
    </w:p>
    <w:p w:rsidR="00F414B0" w:rsidRPr="004212EE" w:rsidRDefault="00F414B0" w:rsidP="00F414B0">
      <w:pPr>
        <w:pStyle w:val="Heading1"/>
        <w:spacing w:before="60" w:after="60"/>
        <w:jc w:val="both"/>
        <w:rPr>
          <w:b w:val="0"/>
          <w:sz w:val="24"/>
          <w:szCs w:val="24"/>
        </w:rPr>
      </w:pPr>
      <w:r w:rsidRPr="00F923D2">
        <w:rPr>
          <w:b w:val="0"/>
          <w:bCs/>
          <w:i/>
          <w:sz w:val="24"/>
          <w:szCs w:val="24"/>
          <w:u w:val="single"/>
        </w:rPr>
        <w:t>Deliverables:</w:t>
      </w:r>
      <w:r>
        <w:rPr>
          <w:bCs/>
          <w:u w:val="single"/>
        </w:rPr>
        <w:t xml:space="preserve"> </w:t>
      </w:r>
      <w:r>
        <w:rPr>
          <w:b w:val="0"/>
          <w:sz w:val="24"/>
          <w:szCs w:val="24"/>
        </w:rPr>
        <w:t>Food-web model and BEM simulation results 1961-2004 (24), unified validation data sets (6), detailed assessment of model skills (24), analysis of regime-shifts in the food-web (24)</w:t>
      </w:r>
    </w:p>
    <w:p w:rsidR="00F414B0" w:rsidRPr="00B62005" w:rsidRDefault="00F414B0" w:rsidP="00F414B0">
      <w:pPr>
        <w:autoSpaceDE w:val="0"/>
        <w:jc w:val="both"/>
        <w:rPr>
          <w:bCs/>
        </w:rPr>
      </w:pPr>
      <w:r w:rsidRPr="00F923D2">
        <w:rPr>
          <w:bCs/>
          <w:i/>
          <w:u w:val="single"/>
          <w:lang w:val="en-GB"/>
        </w:rPr>
        <w:t>Milestones and expected results</w:t>
      </w:r>
      <w:r>
        <w:rPr>
          <w:bCs/>
          <w:u w:val="single"/>
          <w:lang w:val="en-GB"/>
        </w:rPr>
        <w:t>:</w:t>
      </w:r>
      <w:r w:rsidRPr="00A01FAA">
        <w:rPr>
          <w:bCs/>
          <w:u w:val="single"/>
          <w:lang w:val="en-GB"/>
        </w:rPr>
        <w:t xml:space="preserve"> </w:t>
      </w:r>
      <w:r>
        <w:rPr>
          <w:bCs/>
        </w:rPr>
        <w:t xml:space="preserve">Validated models for climate and nutrient load change scenarios; delineation of the impact of historically changing drivers on </w:t>
      </w:r>
      <w:r>
        <w:rPr>
          <w:bCs/>
          <w:u w:val="single"/>
          <w:lang w:val="en-GB"/>
        </w:rPr>
        <w:t>dynamics (life-histories, distributions and phenologies) of  key species (e. g., cod).</w:t>
      </w:r>
      <w:r w:rsidRPr="00F82E15">
        <w:rPr>
          <w:bCs/>
        </w:rPr>
        <w:t xml:space="preserve"> </w:t>
      </w:r>
    </w:p>
    <w:p w:rsidR="00F414B0" w:rsidRDefault="00F414B0" w:rsidP="00B903A3">
      <w:pPr>
        <w:autoSpaceDE w:val="0"/>
        <w:rPr>
          <w:bCs/>
        </w:rPr>
      </w:pPr>
    </w:p>
    <w:p w:rsidR="00F414B0" w:rsidRPr="00F414B0" w:rsidRDefault="00F414B0" w:rsidP="00B903A3">
      <w:pPr>
        <w:autoSpaceDE w:val="0"/>
        <w:rPr>
          <w:b/>
          <w:bCs/>
        </w:rPr>
      </w:pPr>
      <w:r w:rsidRPr="00F414B0">
        <w:rPr>
          <w:b/>
          <w:bCs/>
        </w:rPr>
        <w:t>Activities in months 1</w:t>
      </w:r>
      <w:r w:rsidR="00D66124">
        <w:rPr>
          <w:b/>
          <w:bCs/>
        </w:rPr>
        <w:t>2</w:t>
      </w:r>
      <w:r w:rsidRPr="00F414B0">
        <w:rPr>
          <w:b/>
          <w:bCs/>
        </w:rPr>
        <w:t>-</w:t>
      </w:r>
      <w:r w:rsidR="00D66124">
        <w:rPr>
          <w:b/>
          <w:bCs/>
        </w:rPr>
        <w:t>1</w:t>
      </w:r>
      <w:r w:rsidRPr="00F414B0">
        <w:rPr>
          <w:b/>
          <w:bCs/>
        </w:rPr>
        <w:t>6:</w:t>
      </w:r>
    </w:p>
    <w:p w:rsidR="00F414B0" w:rsidRDefault="00F414B0" w:rsidP="00B903A3">
      <w:pPr>
        <w:autoSpaceDE w:val="0"/>
        <w:rPr>
          <w:bCs/>
        </w:rPr>
      </w:pPr>
    </w:p>
    <w:p w:rsidR="00D66124" w:rsidRDefault="00AE6050" w:rsidP="00B903A3">
      <w:pPr>
        <w:autoSpaceDE w:val="0"/>
        <w:rPr>
          <w:bCs/>
          <w:lang w:val="en-GB"/>
        </w:rPr>
      </w:pPr>
      <w:r w:rsidRPr="00AE6050">
        <w:rPr>
          <w:bCs/>
          <w:lang w:val="en-GB"/>
        </w:rPr>
        <w:t xml:space="preserve">Work in first 6 months has primarily focussed on </w:t>
      </w:r>
      <w:r w:rsidR="00D66124">
        <w:rPr>
          <w:bCs/>
          <w:lang w:val="en-GB"/>
        </w:rPr>
        <w:t xml:space="preserve">further developing foodweb models, including Ecopath-Ecosim model components.  </w:t>
      </w:r>
    </w:p>
    <w:p w:rsidR="00D66124" w:rsidRDefault="00D66124" w:rsidP="00B903A3">
      <w:pPr>
        <w:autoSpaceDE w:val="0"/>
        <w:rPr>
          <w:bCs/>
          <w:lang w:val="en-GB"/>
        </w:rPr>
      </w:pPr>
    </w:p>
    <w:p w:rsidR="00D66124" w:rsidRDefault="00D66124" w:rsidP="00B903A3">
      <w:pPr>
        <w:autoSpaceDE w:val="0"/>
        <w:rPr>
          <w:bCs/>
          <w:lang w:val="en-GB"/>
        </w:rPr>
      </w:pPr>
      <w:r>
        <w:rPr>
          <w:bCs/>
          <w:lang w:val="en-GB"/>
        </w:rPr>
        <w:t>BNI:</w:t>
      </w:r>
    </w:p>
    <w:p w:rsidR="00D66124" w:rsidRPr="00B71109" w:rsidRDefault="00D66124" w:rsidP="00D66124">
      <w:pPr>
        <w:spacing w:before="100" w:beforeAutospacing="1" w:after="100" w:afterAutospacing="1"/>
        <w:ind w:left="720" w:hanging="360"/>
        <w:rPr>
          <w:lang w:val="en-CA" w:eastAsia="da-DK"/>
        </w:rPr>
      </w:pPr>
      <w:r w:rsidRPr="00B71109">
        <w:rPr>
          <w:rFonts w:ascii="Symbol" w:hAnsi="Symbol"/>
          <w:color w:val="000000"/>
          <w:lang w:val="en-CA" w:eastAsia="da-DK"/>
        </w:rPr>
        <w:t></w:t>
      </w:r>
      <w:r w:rsidRPr="00B71109">
        <w:rPr>
          <w:color w:val="000000"/>
          <w:lang w:val="en-CA" w:eastAsia="da-DK"/>
        </w:rPr>
        <w:t>First version of the Ecopath with Ecosim (EwE) food-web model was calibrated to primary production (via which we will link up to the biogeochemical models), fisheries and climate data,   and the model behaves stable which is promising for some reasonable results in the near future</w:t>
      </w:r>
    </w:p>
    <w:p w:rsidR="00D66124" w:rsidRPr="00B71109" w:rsidRDefault="00D66124" w:rsidP="00D66124">
      <w:pPr>
        <w:spacing w:before="100" w:beforeAutospacing="1" w:after="100" w:afterAutospacing="1"/>
        <w:ind w:left="720" w:hanging="360"/>
        <w:rPr>
          <w:lang w:val="en-CA" w:eastAsia="da-DK"/>
        </w:rPr>
      </w:pPr>
      <w:r w:rsidRPr="00B71109">
        <w:rPr>
          <w:lang w:val="en-CA" w:eastAsia="da-DK"/>
        </w:rPr>
        <w:t>-  Integrated assessment work continues in order to find linkgages between the food-web components and to get an understanding of thresholds and their dynamics</w:t>
      </w:r>
    </w:p>
    <w:p w:rsidR="00D66124" w:rsidRPr="00B71109" w:rsidRDefault="00D66124" w:rsidP="00D66124">
      <w:pPr>
        <w:spacing w:before="100" w:beforeAutospacing="1" w:after="100" w:afterAutospacing="1"/>
        <w:ind w:left="720" w:hanging="360"/>
        <w:rPr>
          <w:lang w:val="en-CA" w:eastAsia="da-DK"/>
        </w:rPr>
      </w:pPr>
      <w:r w:rsidRPr="00B71109">
        <w:rPr>
          <w:lang w:val="en-CA" w:eastAsia="da-DK"/>
        </w:rPr>
        <w:t>- Data on Mysids and macrozoobenthos (besides phytoplankton biomass and different zooplankton and fish data) have been included to  in order improve  the EwE model calibration/validation routines</w:t>
      </w:r>
    </w:p>
    <w:p w:rsidR="00D66124" w:rsidRDefault="00D66124" w:rsidP="00B903A3">
      <w:pPr>
        <w:autoSpaceDE w:val="0"/>
        <w:rPr>
          <w:bCs/>
          <w:lang w:val="en-GB"/>
        </w:rPr>
      </w:pPr>
    </w:p>
    <w:p w:rsidR="00D66124" w:rsidRDefault="00D66124" w:rsidP="00B903A3">
      <w:pPr>
        <w:autoSpaceDE w:val="0"/>
        <w:rPr>
          <w:bCs/>
          <w:lang w:val="en-GB"/>
        </w:rPr>
      </w:pPr>
      <w:r>
        <w:rPr>
          <w:bCs/>
          <w:lang w:val="en-GB"/>
        </w:rPr>
        <w:t>DTU Aqua:</w:t>
      </w:r>
    </w:p>
    <w:p w:rsidR="00D66124" w:rsidRPr="00FB545C" w:rsidRDefault="00D66124" w:rsidP="00B903A3">
      <w:pPr>
        <w:autoSpaceDE w:val="0"/>
        <w:rPr>
          <w:bCs/>
          <w:lang w:val="en-GB"/>
        </w:rPr>
      </w:pPr>
    </w:p>
    <w:p w:rsidR="004B4306" w:rsidRPr="00FB545C" w:rsidRDefault="00F140DD" w:rsidP="00B903A3">
      <w:pPr>
        <w:autoSpaceDE w:val="0"/>
        <w:rPr>
          <w:bCs/>
          <w:lang w:val="en-GB"/>
        </w:rPr>
      </w:pPr>
      <w:r w:rsidRPr="00FB545C">
        <w:rPr>
          <w:bCs/>
          <w:lang w:val="en-GB"/>
        </w:rPr>
        <w:t xml:space="preserve">There is close collaboration between BNI and DTU Aqua regarding development of foodweb models.  </w:t>
      </w:r>
      <w:r w:rsidR="004B4306" w:rsidRPr="00FB545C">
        <w:rPr>
          <w:bCs/>
          <w:lang w:val="en-GB"/>
        </w:rPr>
        <w:t>Several new datasets on fish and climate-hydrography have been compiled for input to Ecopath-Ecosim:</w:t>
      </w:r>
    </w:p>
    <w:p w:rsidR="004B4306" w:rsidRPr="00FB545C" w:rsidRDefault="004B4306" w:rsidP="004B4306">
      <w:pPr>
        <w:ind w:left="720" w:hanging="360"/>
        <w:rPr>
          <w:lang w:val="en-CA" w:eastAsia="da-DK"/>
        </w:rPr>
      </w:pPr>
      <w:r w:rsidRPr="00FB545C">
        <w:rPr>
          <w:color w:val="000000"/>
          <w:lang w:val="en-CA" w:eastAsia="da-DK"/>
        </w:rPr>
        <w:t>        Data about catches of flatfishes collected</w:t>
      </w:r>
    </w:p>
    <w:p w:rsidR="004B4306" w:rsidRPr="00FB545C" w:rsidRDefault="004B4306" w:rsidP="004B4306">
      <w:pPr>
        <w:ind w:left="720" w:hanging="360"/>
        <w:rPr>
          <w:lang w:val="en-CA" w:eastAsia="da-DK"/>
        </w:rPr>
      </w:pPr>
      <w:r w:rsidRPr="00FB545C">
        <w:rPr>
          <w:color w:val="000000"/>
          <w:lang w:val="en-CA" w:eastAsia="da-DK"/>
        </w:rPr>
        <w:t>        Diet composition data for flatfishes collected</w:t>
      </w:r>
    </w:p>
    <w:p w:rsidR="004B4306" w:rsidRPr="00FB545C" w:rsidRDefault="004B4306" w:rsidP="004B4306">
      <w:pPr>
        <w:ind w:left="720" w:hanging="360"/>
        <w:rPr>
          <w:lang w:val="en-CA" w:eastAsia="da-DK"/>
        </w:rPr>
      </w:pPr>
      <w:r w:rsidRPr="00FB545C">
        <w:rPr>
          <w:color w:val="000000"/>
          <w:lang w:val="en-CA" w:eastAsia="da-DK"/>
        </w:rPr>
        <w:t>        Climatic and hydrographical historical data collected</w:t>
      </w:r>
    </w:p>
    <w:p w:rsidR="00F140DD" w:rsidRPr="00FB545C" w:rsidRDefault="00F140DD" w:rsidP="004B4306">
      <w:pPr>
        <w:rPr>
          <w:color w:val="000000"/>
          <w:lang w:eastAsia="da-DK"/>
        </w:rPr>
      </w:pPr>
    </w:p>
    <w:p w:rsidR="004B4306" w:rsidRPr="00FB545C" w:rsidRDefault="004B4306" w:rsidP="004B4306">
      <w:pPr>
        <w:rPr>
          <w:color w:val="000000"/>
          <w:lang w:val="en-CA" w:eastAsia="da-DK"/>
        </w:rPr>
      </w:pPr>
      <w:r w:rsidRPr="00FB545C">
        <w:rPr>
          <w:color w:val="000000"/>
          <w:lang w:eastAsia="da-DK"/>
        </w:rPr>
        <w:t xml:space="preserve">The </w:t>
      </w:r>
      <w:r w:rsidR="00237F82" w:rsidRPr="00FB545C">
        <w:rPr>
          <w:color w:val="000000"/>
          <w:lang w:eastAsia="da-DK"/>
        </w:rPr>
        <w:t xml:space="preserve">flatfish data and dietary will be incorporated to the </w:t>
      </w:r>
      <w:r w:rsidRPr="00FB545C">
        <w:rPr>
          <w:color w:val="000000"/>
          <w:lang w:eastAsia="da-DK"/>
        </w:rPr>
        <w:t>model</w:t>
      </w:r>
      <w:r w:rsidR="00237F82" w:rsidRPr="00FB545C">
        <w:rPr>
          <w:color w:val="000000"/>
          <w:lang w:eastAsia="da-DK"/>
        </w:rPr>
        <w:t>, which</w:t>
      </w:r>
      <w:r w:rsidRPr="00FB545C">
        <w:rPr>
          <w:color w:val="000000"/>
          <w:lang w:eastAsia="da-DK"/>
        </w:rPr>
        <w:t xml:space="preserve"> will be run in hindcast mode with the new biological components for historical </w:t>
      </w:r>
      <w:r w:rsidRPr="00FB545C">
        <w:rPr>
          <w:color w:val="000000"/>
          <w:lang w:val="en-CA" w:eastAsia="da-DK"/>
        </w:rPr>
        <w:t>periods (1900 – 1974  contrast to 2006 )</w:t>
      </w:r>
      <w:r w:rsidR="00237F82" w:rsidRPr="00FB545C">
        <w:rPr>
          <w:color w:val="000000"/>
          <w:lang w:val="en-CA" w:eastAsia="da-DK"/>
        </w:rPr>
        <w:t xml:space="preserve">.  </w:t>
      </w:r>
      <w:r w:rsidR="00FB545C">
        <w:rPr>
          <w:color w:val="000000"/>
          <w:lang w:val="en-CA" w:eastAsia="da-DK"/>
        </w:rPr>
        <w:t>The o</w:t>
      </w:r>
      <w:r w:rsidR="00237F82" w:rsidRPr="00FB545C">
        <w:rPr>
          <w:color w:val="000000"/>
          <w:lang w:val="en-CA" w:eastAsia="da-DK"/>
        </w:rPr>
        <w:t>bjective is to build Ecopath models for different time periods under different climate-eutrophication situations and develop “snapshots” of food-web structure and functioning.</w:t>
      </w:r>
    </w:p>
    <w:p w:rsidR="00237F82" w:rsidRPr="00FB545C" w:rsidRDefault="00237F82" w:rsidP="004B4306">
      <w:pPr>
        <w:rPr>
          <w:lang w:val="en-CA" w:eastAsia="da-DK"/>
        </w:rPr>
      </w:pPr>
    </w:p>
    <w:p w:rsidR="002943F4" w:rsidRPr="00FB545C" w:rsidRDefault="00FB545C" w:rsidP="004B4306">
      <w:pPr>
        <w:rPr>
          <w:lang w:val="en-CA" w:eastAsia="da-DK"/>
        </w:rPr>
      </w:pPr>
      <w:r>
        <w:rPr>
          <w:lang w:val="en-CA" w:eastAsia="da-DK"/>
        </w:rPr>
        <w:t>University of Gothenburg (UG):</w:t>
      </w:r>
    </w:p>
    <w:p w:rsidR="002943F4" w:rsidRPr="00FB545C" w:rsidRDefault="002943F4" w:rsidP="004B4306">
      <w:pPr>
        <w:ind w:left="360"/>
        <w:rPr>
          <w:color w:val="000000"/>
          <w:lang w:val="en-CA" w:eastAsia="da-DK"/>
        </w:rPr>
      </w:pPr>
    </w:p>
    <w:p w:rsidR="003D0EF0" w:rsidRPr="00FB545C" w:rsidRDefault="002943F4" w:rsidP="002943F4">
      <w:pPr>
        <w:rPr>
          <w:color w:val="000000"/>
          <w:lang w:val="en-CA" w:eastAsia="da-DK"/>
        </w:rPr>
      </w:pPr>
      <w:r w:rsidRPr="00FB545C">
        <w:rPr>
          <w:color w:val="000000"/>
          <w:lang w:val="en-CA" w:eastAsia="da-DK"/>
        </w:rPr>
        <w:t xml:space="preserve">Work has continued on development of </w:t>
      </w:r>
      <w:r w:rsidRPr="001055C5">
        <w:rPr>
          <w:color w:val="000000"/>
          <w:lang w:val="en-CA" w:eastAsia="da-DK"/>
        </w:rPr>
        <w:t>bioclimate envelope models (BEMs)</w:t>
      </w:r>
      <w:r w:rsidRPr="00FB545C">
        <w:rPr>
          <w:color w:val="000000"/>
          <w:lang w:val="en-CA" w:eastAsia="da-DK"/>
        </w:rPr>
        <w:t xml:space="preserve"> in relation to acidification effects on benthic Baltic biota, particuarly molluscan species.  </w:t>
      </w:r>
      <w:r w:rsidR="003D0EF0" w:rsidRPr="00FB545C">
        <w:rPr>
          <w:color w:val="000000"/>
          <w:lang w:val="en-CA" w:eastAsia="da-DK"/>
        </w:rPr>
        <w:t>Discussions with BNI colleagues regarding viability of the approach and available field data for parameterizing models have been held and meta-data exchanges have taken place.  There are some limitations to the approach, particularly based on correlations with field distributions and abundances.</w:t>
      </w:r>
    </w:p>
    <w:p w:rsidR="003D0EF0" w:rsidRPr="00FB545C" w:rsidRDefault="003D0EF0" w:rsidP="002943F4">
      <w:pPr>
        <w:rPr>
          <w:color w:val="000000"/>
          <w:lang w:val="en-CA" w:eastAsia="da-DK"/>
        </w:rPr>
      </w:pPr>
    </w:p>
    <w:p w:rsidR="003D0EF0" w:rsidRPr="00FB545C" w:rsidRDefault="003D0EF0" w:rsidP="002943F4">
      <w:pPr>
        <w:rPr>
          <w:color w:val="000000"/>
          <w:lang w:val="en-CA" w:eastAsia="da-DK"/>
        </w:rPr>
      </w:pPr>
      <w:r w:rsidRPr="00FB545C">
        <w:rPr>
          <w:color w:val="000000"/>
          <w:lang w:val="en-CA" w:eastAsia="da-DK"/>
        </w:rPr>
        <w:t xml:space="preserve">Regarding experimental assessment of how acidification affects the target species of investigation (blue mussel, </w:t>
      </w:r>
      <w:r w:rsidRPr="00FB545C">
        <w:rPr>
          <w:i/>
          <w:color w:val="000000"/>
          <w:lang w:val="en-CA" w:eastAsia="da-DK"/>
        </w:rPr>
        <w:t>Mytilus</w:t>
      </w:r>
      <w:r w:rsidRPr="00FB545C">
        <w:rPr>
          <w:color w:val="000000"/>
          <w:lang w:val="en-CA" w:eastAsia="da-DK"/>
        </w:rPr>
        <w:t xml:space="preserve"> </w:t>
      </w:r>
      <w:r w:rsidR="00F140DD" w:rsidRPr="00FB545C">
        <w:rPr>
          <w:color w:val="000000"/>
          <w:lang w:val="en-CA" w:eastAsia="da-DK"/>
        </w:rPr>
        <w:t>sp.</w:t>
      </w:r>
      <w:r w:rsidRPr="00FB545C">
        <w:rPr>
          <w:color w:val="000000"/>
          <w:lang w:val="en-CA" w:eastAsia="da-DK"/>
        </w:rPr>
        <w:t>), preliminary results by show that fertilisation success under expected a modest reduction in acifidication in the Baltic by ca. 0.35 pH units may be relatively unaffected or in some cases even increased.  Further experiments in 2010 will investigate the topic in more detail and in combination with changes in temperature.  It is hoped that these results might contribute to development of a mechanistically-based bioclimatic envelope model for the species in the Baltic.</w:t>
      </w:r>
    </w:p>
    <w:p w:rsidR="003D0EF0" w:rsidRPr="00FB545C" w:rsidRDefault="003D0EF0" w:rsidP="002943F4">
      <w:pPr>
        <w:rPr>
          <w:color w:val="000000"/>
          <w:lang w:val="en-CA" w:eastAsia="da-DK"/>
        </w:rPr>
      </w:pPr>
    </w:p>
    <w:p w:rsidR="003D0EF0" w:rsidRPr="00FB545C" w:rsidRDefault="003D0EF0" w:rsidP="002943F4">
      <w:pPr>
        <w:rPr>
          <w:color w:val="000000"/>
          <w:lang w:val="en-CA" w:eastAsia="da-DK"/>
        </w:rPr>
      </w:pPr>
      <w:r w:rsidRPr="00FB545C">
        <w:rPr>
          <w:color w:val="000000"/>
          <w:lang w:val="en-CA" w:eastAsia="da-DK"/>
        </w:rPr>
        <w:t xml:space="preserve">Additional experimental studies of acidification on fertilisation success are being conducted with cod as part of a jointly supervised Ph.d. </w:t>
      </w:r>
      <w:r w:rsidR="00FB545C">
        <w:rPr>
          <w:color w:val="000000"/>
          <w:lang w:val="en-CA" w:eastAsia="da-DK"/>
        </w:rPr>
        <w:t xml:space="preserve">project between </w:t>
      </w:r>
      <w:r w:rsidRPr="00FB545C">
        <w:rPr>
          <w:color w:val="000000"/>
          <w:lang w:val="en-CA" w:eastAsia="da-DK"/>
        </w:rPr>
        <w:t>U</w:t>
      </w:r>
      <w:r w:rsidR="00FB545C">
        <w:rPr>
          <w:color w:val="000000"/>
          <w:lang w:val="en-CA" w:eastAsia="da-DK"/>
        </w:rPr>
        <w:t>G</w:t>
      </w:r>
      <w:r w:rsidRPr="00FB545C">
        <w:rPr>
          <w:color w:val="000000"/>
          <w:lang w:val="en-CA" w:eastAsia="da-DK"/>
        </w:rPr>
        <w:t xml:space="preserve"> and IfM-Geomar, Kiel. Preliminary results suggest </w:t>
      </w:r>
      <w:r w:rsidRPr="001055C5">
        <w:rPr>
          <w:color w:val="000000"/>
          <w:lang w:val="en-CA" w:eastAsia="da-DK"/>
        </w:rPr>
        <w:t>no signi</w:t>
      </w:r>
      <w:r w:rsidRPr="00FB545C">
        <w:rPr>
          <w:color w:val="000000"/>
          <w:lang w:val="en-CA" w:eastAsia="da-DK"/>
        </w:rPr>
        <w:t xml:space="preserve">ficant impact on sperm motility at a ph reduction of 0.4 unit. </w:t>
      </w:r>
      <w:r w:rsidRPr="001055C5">
        <w:rPr>
          <w:color w:val="000000"/>
          <w:lang w:val="en-CA" w:eastAsia="da-DK"/>
        </w:rPr>
        <w:t>The sperm motility experimental results are in prepration for publication in Biogeosciences.</w:t>
      </w:r>
    </w:p>
    <w:p w:rsidR="003D0EF0" w:rsidRPr="00FB545C" w:rsidRDefault="003D0EF0" w:rsidP="002943F4">
      <w:pPr>
        <w:rPr>
          <w:color w:val="000000"/>
          <w:lang w:val="en-CA" w:eastAsia="da-DK"/>
        </w:rPr>
      </w:pPr>
    </w:p>
    <w:p w:rsidR="002943F4" w:rsidRPr="001055C5" w:rsidRDefault="00D91D92" w:rsidP="002943F4">
      <w:pPr>
        <w:rPr>
          <w:color w:val="000000"/>
          <w:lang w:val="en-CA" w:eastAsia="da-DK"/>
        </w:rPr>
      </w:pPr>
      <w:r w:rsidRPr="00FB545C">
        <w:rPr>
          <w:color w:val="000000"/>
          <w:lang w:val="en-CA" w:eastAsia="da-DK"/>
        </w:rPr>
        <w:t xml:space="preserve">There are some other related issues regarding the experimental work and bioclimatic envelope modellig (BEM) for the Baltic.  </w:t>
      </w:r>
      <w:r w:rsidR="002943F4" w:rsidRPr="001055C5">
        <w:rPr>
          <w:color w:val="000000"/>
          <w:lang w:val="en-CA" w:eastAsia="da-DK"/>
        </w:rPr>
        <w:t>It has become clear that developing a useful and even reasonably accurate BEM is a major task requiring substantial information about the target species (which in many cases is lacking), and therefore doing so for multiple key Baltic species is likely to require more time (and expertise) than</w:t>
      </w:r>
      <w:r w:rsidRPr="00FB545C">
        <w:rPr>
          <w:color w:val="000000"/>
          <w:lang w:val="en-CA" w:eastAsia="da-DK"/>
        </w:rPr>
        <w:t xml:space="preserve"> is available in this project. </w:t>
      </w:r>
      <w:r w:rsidR="002943F4" w:rsidRPr="001055C5">
        <w:rPr>
          <w:color w:val="000000"/>
          <w:lang w:val="en-CA" w:eastAsia="da-DK"/>
        </w:rPr>
        <w:t xml:space="preserve">Partly this problem arises because genetic composition of Baltic populations of common species (eg </w:t>
      </w:r>
      <w:r w:rsidR="002943F4" w:rsidRPr="001055C5">
        <w:rPr>
          <w:i/>
          <w:color w:val="000000"/>
          <w:lang w:val="en-CA" w:eastAsia="da-DK"/>
        </w:rPr>
        <w:t>Mytilus, Macoma</w:t>
      </w:r>
      <w:r w:rsidR="002943F4" w:rsidRPr="001055C5">
        <w:rPr>
          <w:color w:val="000000"/>
          <w:lang w:val="en-CA" w:eastAsia="da-DK"/>
        </w:rPr>
        <w:t>) differ markedly from those of non-Baltic populations of the same species, and this limits markedly the applicability of environmental tolerance data from non-Baltic locations.</w:t>
      </w:r>
      <w:r w:rsidRPr="00FB545C">
        <w:rPr>
          <w:color w:val="000000"/>
          <w:lang w:val="en-CA" w:eastAsia="da-DK"/>
        </w:rPr>
        <w:t xml:space="preserve">  </w:t>
      </w:r>
      <w:r w:rsidR="002943F4" w:rsidRPr="001055C5">
        <w:rPr>
          <w:color w:val="000000"/>
          <w:lang w:val="en-CA" w:eastAsia="da-DK"/>
        </w:rPr>
        <w:t>It has also become clear that we lack relevant expertise to develop useful BEMs.</w:t>
      </w:r>
      <w:r w:rsidRPr="00FB545C">
        <w:rPr>
          <w:color w:val="000000"/>
          <w:lang w:val="en-CA" w:eastAsia="da-DK"/>
        </w:rPr>
        <w:t xml:space="preserve"> </w:t>
      </w:r>
      <w:r w:rsidR="002943F4" w:rsidRPr="001055C5">
        <w:rPr>
          <w:color w:val="000000"/>
          <w:lang w:val="en-CA" w:eastAsia="da-DK"/>
        </w:rPr>
        <w:t xml:space="preserve"> There is a growing literature that highlights the limitations and questions the relevance of BEMs in general.  </w:t>
      </w:r>
      <w:r w:rsidRPr="00FB545C">
        <w:rPr>
          <w:color w:val="000000"/>
          <w:lang w:val="en-CA" w:eastAsia="da-DK"/>
        </w:rPr>
        <w:t xml:space="preserve"> </w:t>
      </w:r>
    </w:p>
    <w:p w:rsidR="002943F4" w:rsidRPr="00FB545C" w:rsidRDefault="002943F4" w:rsidP="004B4306">
      <w:pPr>
        <w:ind w:left="360"/>
        <w:rPr>
          <w:color w:val="000000"/>
          <w:lang w:val="en-CA" w:eastAsia="da-DK"/>
        </w:rPr>
      </w:pPr>
    </w:p>
    <w:p w:rsidR="002943F4" w:rsidRPr="00FB545C" w:rsidRDefault="00D91D92" w:rsidP="00D91D92">
      <w:pPr>
        <w:rPr>
          <w:color w:val="000000"/>
          <w:lang w:val="en-CA" w:eastAsia="da-DK"/>
        </w:rPr>
      </w:pPr>
      <w:r w:rsidRPr="00FB545C">
        <w:rPr>
          <w:color w:val="000000"/>
          <w:lang w:val="en-CA" w:eastAsia="da-DK"/>
        </w:rPr>
        <w:t>Plans for next 6-12 months</w:t>
      </w:r>
    </w:p>
    <w:p w:rsidR="00D91D92" w:rsidRPr="00FB545C" w:rsidRDefault="00D91D92" w:rsidP="00D91D92">
      <w:pPr>
        <w:rPr>
          <w:color w:val="000000"/>
          <w:lang w:val="en-CA" w:eastAsia="da-DK"/>
        </w:rPr>
      </w:pPr>
    </w:p>
    <w:p w:rsidR="00D91D92" w:rsidRPr="00FB545C" w:rsidRDefault="00F140DD" w:rsidP="00D91D92">
      <w:pPr>
        <w:rPr>
          <w:color w:val="000000"/>
          <w:lang w:val="en-CA" w:eastAsia="da-DK"/>
        </w:rPr>
      </w:pPr>
      <w:r w:rsidRPr="00FB545C">
        <w:rPr>
          <w:color w:val="000000"/>
          <w:lang w:val="en-CA" w:eastAsia="da-DK"/>
        </w:rPr>
        <w:t>Considerably more e</w:t>
      </w:r>
      <w:r w:rsidR="00D91D92" w:rsidRPr="00FB545C">
        <w:rPr>
          <w:color w:val="000000"/>
          <w:lang w:val="en-CA" w:eastAsia="da-DK"/>
        </w:rPr>
        <w:t xml:space="preserve">ffort will be allocated to analyses and interpretation of model outputs from wp1 and wp2 of historical data for the key variables that will be used in future scenaro modelling.  Hindcasted data are now beginning to be available for key temperature, salinity and reproductive volume data from other WPs and these data will be compared and validated with field observations.  The data will also start to be used in some population and foodweb models to check ability to describe past fluctuations in </w:t>
      </w:r>
      <w:r w:rsidR="00FB545C">
        <w:rPr>
          <w:color w:val="000000"/>
          <w:lang w:val="en-CA" w:eastAsia="da-DK"/>
        </w:rPr>
        <w:t xml:space="preserve">key </w:t>
      </w:r>
      <w:r w:rsidR="00D91D92" w:rsidRPr="00FB545C">
        <w:rPr>
          <w:color w:val="000000"/>
          <w:lang w:val="en-CA" w:eastAsia="da-DK"/>
        </w:rPr>
        <w:t>response variables such as biomass and recruitment.</w:t>
      </w:r>
    </w:p>
    <w:p w:rsidR="00F140DD" w:rsidRPr="00FB545C" w:rsidRDefault="00F140DD" w:rsidP="00D91D92">
      <w:pPr>
        <w:rPr>
          <w:color w:val="000000"/>
          <w:lang w:val="en-CA" w:eastAsia="da-DK"/>
        </w:rPr>
      </w:pPr>
    </w:p>
    <w:p w:rsidR="00D91D92" w:rsidRPr="00FB545C" w:rsidRDefault="00D91D92" w:rsidP="00D91D92">
      <w:pPr>
        <w:rPr>
          <w:color w:val="000000"/>
          <w:lang w:val="en-CA" w:eastAsia="da-DK"/>
        </w:rPr>
      </w:pPr>
      <w:r w:rsidRPr="00FB545C">
        <w:rPr>
          <w:color w:val="000000"/>
          <w:lang w:val="en-CA" w:eastAsia="da-DK"/>
        </w:rPr>
        <w:t xml:space="preserve">Experimental work on acidification effects </w:t>
      </w:r>
      <w:r w:rsidR="00FB545C">
        <w:rPr>
          <w:color w:val="000000"/>
          <w:lang w:val="en-CA" w:eastAsia="da-DK"/>
        </w:rPr>
        <w:t xml:space="preserve">on mussels </w:t>
      </w:r>
      <w:r w:rsidRPr="00FB545C">
        <w:rPr>
          <w:color w:val="000000"/>
          <w:lang w:val="en-CA" w:eastAsia="da-DK"/>
        </w:rPr>
        <w:t xml:space="preserve">and cod will continue.  </w:t>
      </w:r>
    </w:p>
    <w:p w:rsidR="00D91D92" w:rsidRPr="00FB545C" w:rsidRDefault="00D91D92" w:rsidP="00D91D92">
      <w:pPr>
        <w:rPr>
          <w:color w:val="000000"/>
          <w:lang w:val="en-CA" w:eastAsia="da-DK"/>
        </w:rPr>
      </w:pPr>
    </w:p>
    <w:p w:rsidR="00D91D92" w:rsidRPr="00FB545C" w:rsidRDefault="00D91D92" w:rsidP="00D91D92">
      <w:pPr>
        <w:rPr>
          <w:color w:val="000000"/>
          <w:lang w:val="en-CA" w:eastAsia="da-DK"/>
        </w:rPr>
      </w:pPr>
      <w:r w:rsidRPr="00FB545C">
        <w:rPr>
          <w:color w:val="000000"/>
          <w:lang w:val="en-CA" w:eastAsia="da-DK"/>
        </w:rPr>
        <w:t>Some dissemination of results will be made at meetings and in literature.  See dissemination section at end of report.</w:t>
      </w:r>
    </w:p>
    <w:p w:rsidR="004B4306" w:rsidRPr="00FB545C" w:rsidRDefault="004B4306" w:rsidP="00D91D92">
      <w:pPr>
        <w:rPr>
          <w:lang w:val="en-CA" w:eastAsia="da-DK"/>
        </w:rPr>
      </w:pPr>
      <w:r w:rsidRPr="00FB545C">
        <w:rPr>
          <w:color w:val="000000"/>
          <w:lang w:val="en-CA" w:eastAsia="da-DK"/>
        </w:rPr>
        <w:t> </w:t>
      </w:r>
    </w:p>
    <w:p w:rsidR="00232C12" w:rsidRDefault="00232C12" w:rsidP="00B903A3">
      <w:pPr>
        <w:autoSpaceDE w:val="0"/>
        <w:jc w:val="both"/>
        <w:rPr>
          <w:bCs/>
          <w:u w:val="single"/>
          <w:lang w:val="en-GB"/>
        </w:rPr>
      </w:pPr>
    </w:p>
    <w:p w:rsidR="00B903A3" w:rsidRDefault="00B903A3" w:rsidP="00B903A3">
      <w:pPr>
        <w:autoSpaceDE w:val="0"/>
        <w:rPr>
          <w:b/>
          <w:bCs/>
        </w:rPr>
      </w:pPr>
      <w:r>
        <w:rPr>
          <w:b/>
          <w:bCs/>
        </w:rPr>
        <w:t>Task 3.2</w:t>
      </w:r>
      <w:r w:rsidRPr="00E91C51">
        <w:rPr>
          <w:b/>
          <w:bCs/>
        </w:rPr>
        <w:t>:</w:t>
      </w:r>
      <w:r w:rsidRPr="00E91C51">
        <w:rPr>
          <w:bCs/>
        </w:rPr>
        <w:t xml:space="preserve"> </w:t>
      </w:r>
      <w:r>
        <w:rPr>
          <w:b/>
          <w:bCs/>
        </w:rPr>
        <w:t>Scenario simulations of the food-web (1-33)</w:t>
      </w:r>
    </w:p>
    <w:p w:rsidR="00B903A3" w:rsidRDefault="00B903A3" w:rsidP="00B903A3">
      <w:pPr>
        <w:autoSpaceDE w:val="0"/>
        <w:rPr>
          <w:bCs/>
        </w:rPr>
      </w:pPr>
    </w:p>
    <w:p w:rsidR="00F414B0" w:rsidRDefault="00F414B0" w:rsidP="00F414B0">
      <w:pPr>
        <w:autoSpaceDE w:val="0"/>
        <w:jc w:val="both"/>
        <w:rPr>
          <w:b/>
        </w:rPr>
      </w:pPr>
      <w:r w:rsidRPr="009D52D6">
        <w:rPr>
          <w:i/>
          <w:u w:val="single"/>
        </w:rPr>
        <w:lastRenderedPageBreak/>
        <w:t>Deliverables:</w:t>
      </w:r>
      <w:r>
        <w:t xml:space="preserve"> Food-web</w:t>
      </w:r>
      <w:r w:rsidRPr="004212EE">
        <w:t xml:space="preserve"> </w:t>
      </w:r>
      <w:r>
        <w:t>and fish population model simulations for 1960-</w:t>
      </w:r>
      <w:r w:rsidRPr="004212EE">
        <w:t>2100</w:t>
      </w:r>
      <w:r>
        <w:t xml:space="preserve"> (33), calculated envelopes for resilience of species in future climate (33), cause-and-effect studies of simulated changes and analysis of various scenarios (33)</w:t>
      </w:r>
    </w:p>
    <w:p w:rsidR="00F414B0" w:rsidRDefault="00F414B0" w:rsidP="00F414B0">
      <w:pPr>
        <w:autoSpaceDE w:val="0"/>
        <w:jc w:val="both"/>
        <w:rPr>
          <w:bCs/>
          <w:lang w:val="en-GB"/>
        </w:rPr>
      </w:pPr>
      <w:r w:rsidRPr="009D52D6">
        <w:rPr>
          <w:i/>
          <w:u w:val="single"/>
          <w:lang w:val="en-GB" w:eastAsia="nb-NO"/>
        </w:rPr>
        <w:t>Milestones and expected results</w:t>
      </w:r>
      <w:r w:rsidRPr="004212EE">
        <w:rPr>
          <w:i/>
          <w:lang w:val="en-GB" w:eastAsia="nb-NO"/>
        </w:rPr>
        <w:t>:</w:t>
      </w:r>
      <w:r>
        <w:rPr>
          <w:b/>
          <w:lang w:val="en-GB" w:eastAsia="nb-NO"/>
        </w:rPr>
        <w:t xml:space="preserve"> </w:t>
      </w:r>
      <w:r>
        <w:rPr>
          <w:lang w:val="en-GB" w:eastAsia="nb-NO"/>
        </w:rPr>
        <w:t>To discover changes in the food-web due to future climatic changes and address questions such as whether cod or blue mussels can survive in the future BS</w:t>
      </w:r>
    </w:p>
    <w:p w:rsidR="00F414B0" w:rsidRDefault="00F414B0" w:rsidP="00B903A3">
      <w:pPr>
        <w:autoSpaceDE w:val="0"/>
        <w:rPr>
          <w:bCs/>
          <w:lang w:val="en-GB"/>
        </w:rPr>
      </w:pPr>
    </w:p>
    <w:p w:rsidR="00F414B0" w:rsidRPr="00F414B0" w:rsidRDefault="00F414B0" w:rsidP="00F414B0">
      <w:pPr>
        <w:autoSpaceDE w:val="0"/>
        <w:rPr>
          <w:b/>
          <w:bCs/>
        </w:rPr>
      </w:pPr>
      <w:r w:rsidRPr="00F414B0">
        <w:rPr>
          <w:b/>
          <w:bCs/>
        </w:rPr>
        <w:t>Activities in months 1</w:t>
      </w:r>
      <w:r w:rsidR="00232C12">
        <w:rPr>
          <w:b/>
          <w:bCs/>
        </w:rPr>
        <w:t>2</w:t>
      </w:r>
      <w:r w:rsidRPr="00F414B0">
        <w:rPr>
          <w:b/>
          <w:bCs/>
        </w:rPr>
        <w:t>-</w:t>
      </w:r>
      <w:r w:rsidR="00232C12">
        <w:rPr>
          <w:b/>
          <w:bCs/>
        </w:rPr>
        <w:t>1</w:t>
      </w:r>
      <w:r w:rsidRPr="00F414B0">
        <w:rPr>
          <w:b/>
          <w:bCs/>
        </w:rPr>
        <w:t>6:</w:t>
      </w:r>
    </w:p>
    <w:p w:rsidR="00F414B0" w:rsidRDefault="00F414B0" w:rsidP="00B903A3">
      <w:pPr>
        <w:autoSpaceDE w:val="0"/>
        <w:rPr>
          <w:bCs/>
          <w:lang w:val="en-GB"/>
        </w:rPr>
      </w:pPr>
    </w:p>
    <w:p w:rsidR="00237F82" w:rsidRDefault="00237F82" w:rsidP="00B903A3">
      <w:pPr>
        <w:autoSpaceDE w:val="0"/>
        <w:rPr>
          <w:bCs/>
          <w:lang w:val="en-GB"/>
        </w:rPr>
      </w:pPr>
      <w:r>
        <w:rPr>
          <w:bCs/>
          <w:lang w:val="en-GB"/>
        </w:rPr>
        <w:t>See also subtask 3.1.</w:t>
      </w:r>
    </w:p>
    <w:p w:rsidR="00237F82" w:rsidRDefault="00237F82" w:rsidP="00B903A3">
      <w:pPr>
        <w:autoSpaceDE w:val="0"/>
        <w:rPr>
          <w:bCs/>
          <w:lang w:val="en-GB"/>
        </w:rPr>
      </w:pPr>
    </w:p>
    <w:p w:rsidR="00E67885" w:rsidRDefault="00F414B0" w:rsidP="00B903A3">
      <w:pPr>
        <w:autoSpaceDE w:val="0"/>
        <w:rPr>
          <w:bCs/>
        </w:rPr>
      </w:pPr>
      <w:r>
        <w:rPr>
          <w:bCs/>
          <w:lang w:val="en-GB"/>
        </w:rPr>
        <w:t>Preparatory work is scheduled for months 1-17.</w:t>
      </w:r>
      <w:r w:rsidR="00FB545C">
        <w:rPr>
          <w:bCs/>
          <w:lang w:val="en-GB"/>
        </w:rPr>
        <w:t xml:space="preserve"> </w:t>
      </w:r>
      <w:r w:rsidR="00E67885">
        <w:rPr>
          <w:bCs/>
        </w:rPr>
        <w:t xml:space="preserve">Full activity not scheduled to start until month 18.  However, a large amount of </w:t>
      </w:r>
      <w:r w:rsidR="00AE6050">
        <w:rPr>
          <w:bCs/>
        </w:rPr>
        <w:t xml:space="preserve"> preparatory work </w:t>
      </w:r>
      <w:r w:rsidR="00232C12">
        <w:rPr>
          <w:bCs/>
        </w:rPr>
        <w:t>is being</w:t>
      </w:r>
      <w:r w:rsidR="00E67885">
        <w:rPr>
          <w:bCs/>
        </w:rPr>
        <w:t xml:space="preserve"> conducted in this sub-task, mainly in relation to other projects and activities.   </w:t>
      </w:r>
    </w:p>
    <w:p w:rsidR="00E67885" w:rsidRDefault="00E67885" w:rsidP="00B903A3">
      <w:pPr>
        <w:autoSpaceDE w:val="0"/>
        <w:rPr>
          <w:bCs/>
        </w:rPr>
      </w:pPr>
    </w:p>
    <w:p w:rsidR="00E67885" w:rsidRDefault="00E67885" w:rsidP="00B903A3">
      <w:pPr>
        <w:autoSpaceDE w:val="0"/>
        <w:rPr>
          <w:bCs/>
        </w:rPr>
      </w:pPr>
      <w:r>
        <w:rPr>
          <w:bCs/>
        </w:rPr>
        <w:t xml:space="preserve">Most wp3 partners are involved with the ICES – Helcom </w:t>
      </w:r>
      <w:r>
        <w:rPr>
          <w:bCs/>
          <w:lang w:val="en-GB"/>
        </w:rPr>
        <w:t xml:space="preserve">Working Group on Integrated Ecosystem Assessment of the </w:t>
      </w:r>
      <w:smartTag w:uri="urn:schemas-microsoft-com:office:smarttags" w:element="place">
        <w:r>
          <w:rPr>
            <w:bCs/>
            <w:lang w:val="en-GB"/>
          </w:rPr>
          <w:t>Baltic Sea</w:t>
        </w:r>
      </w:smartTag>
      <w:r>
        <w:rPr>
          <w:bCs/>
          <w:lang w:val="en-GB"/>
        </w:rPr>
        <w:t xml:space="preserve">.  This WG met in </w:t>
      </w:r>
      <w:r w:rsidR="00232C12">
        <w:rPr>
          <w:bCs/>
          <w:lang w:val="en-GB"/>
        </w:rPr>
        <w:t>April 2010</w:t>
      </w:r>
      <w:r>
        <w:rPr>
          <w:bCs/>
          <w:lang w:val="en-GB"/>
        </w:rPr>
        <w:t xml:space="preserve">, in </w:t>
      </w:r>
      <w:r w:rsidR="00232C12">
        <w:rPr>
          <w:bCs/>
          <w:lang w:val="en-GB"/>
        </w:rPr>
        <w:t>Copenhagen</w:t>
      </w:r>
      <w:r w:rsidR="00D66124">
        <w:rPr>
          <w:bCs/>
          <w:lang w:val="en-GB"/>
        </w:rPr>
        <w:t xml:space="preserve"> in mid-April shortly after the ECPSUPPORT conference call</w:t>
      </w:r>
      <w:r>
        <w:rPr>
          <w:bCs/>
          <w:lang w:val="en-GB"/>
        </w:rPr>
        <w:t>.  Eco-support partners BNI and DTU-Aqua participated</w:t>
      </w:r>
      <w:r w:rsidR="00D66124">
        <w:rPr>
          <w:bCs/>
          <w:lang w:val="en-GB"/>
        </w:rPr>
        <w:t xml:space="preserve"> in both</w:t>
      </w:r>
      <w:r>
        <w:rPr>
          <w:bCs/>
          <w:lang w:val="en-GB"/>
        </w:rPr>
        <w:t xml:space="preserve">; </w:t>
      </w:r>
      <w:r w:rsidR="00D66124">
        <w:rPr>
          <w:bCs/>
          <w:lang w:val="en-GB"/>
        </w:rPr>
        <w:t xml:space="preserve">a BNI colleague and </w:t>
      </w:r>
      <w:r>
        <w:rPr>
          <w:bCs/>
          <w:lang w:val="en-GB"/>
        </w:rPr>
        <w:t xml:space="preserve">an associated partner of Eco-support (SBF) </w:t>
      </w:r>
      <w:r w:rsidR="00D66124">
        <w:rPr>
          <w:bCs/>
          <w:lang w:val="en-GB"/>
        </w:rPr>
        <w:t>are</w:t>
      </w:r>
      <w:r>
        <w:rPr>
          <w:bCs/>
          <w:lang w:val="en-GB"/>
        </w:rPr>
        <w:t xml:space="preserve"> co-chair</w:t>
      </w:r>
      <w:r w:rsidR="00D66124">
        <w:rPr>
          <w:bCs/>
          <w:lang w:val="en-GB"/>
        </w:rPr>
        <w:t>s</w:t>
      </w:r>
      <w:r>
        <w:rPr>
          <w:bCs/>
          <w:lang w:val="en-GB"/>
        </w:rPr>
        <w:t xml:space="preserve"> of the WG.  BNI and DTU-Aqua presented results of ongoing work related to environmentally-driven foodweb and fish population modelling and which will be developed further within Eco-support.</w:t>
      </w:r>
    </w:p>
    <w:p w:rsidR="004A6182" w:rsidRDefault="004A6182" w:rsidP="00B903A3">
      <w:pPr>
        <w:autoSpaceDE w:val="0"/>
        <w:rPr>
          <w:bCs/>
        </w:rPr>
      </w:pPr>
    </w:p>
    <w:p w:rsidR="00E67885" w:rsidRDefault="00F414B0" w:rsidP="004A6182">
      <w:pPr>
        <w:autoSpaceDE w:val="0"/>
        <w:autoSpaceDN w:val="0"/>
        <w:adjustRightInd w:val="0"/>
      </w:pPr>
      <w:r>
        <w:t xml:space="preserve">Colleagues at DTU-Aqua and partners outside Eco-support have </w:t>
      </w:r>
      <w:r w:rsidR="00D66124">
        <w:t xml:space="preserve">published a paper about </w:t>
      </w:r>
      <w:r>
        <w:t>fish pro</w:t>
      </w:r>
      <w:r w:rsidR="00F140DD">
        <w:t>jection models under future cli</w:t>
      </w:r>
      <w:r>
        <w:t>m</w:t>
      </w:r>
      <w:r w:rsidR="00F140DD">
        <w:t>a</w:t>
      </w:r>
      <w:r>
        <w:t xml:space="preserve">te change and presented the results at </w:t>
      </w:r>
      <w:r w:rsidR="00D66124">
        <w:t>ICES Annual Science Conference, Berlin</w:t>
      </w:r>
      <w:r>
        <w:rPr>
          <w:bCs/>
          <w:lang w:val="en-GB"/>
        </w:rPr>
        <w:t>, Germany</w:t>
      </w:r>
      <w:r w:rsidR="00D66124">
        <w:rPr>
          <w:bCs/>
          <w:lang w:val="en-GB"/>
        </w:rPr>
        <w:t>, Sept. 2009</w:t>
      </w:r>
      <w:r>
        <w:rPr>
          <w:bCs/>
          <w:lang w:val="en-GB"/>
        </w:rPr>
        <w:t xml:space="preserve">.  </w:t>
      </w:r>
      <w:r w:rsidR="00D66124">
        <w:rPr>
          <w:bCs/>
          <w:lang w:val="en-GB"/>
        </w:rPr>
        <w:t xml:space="preserve">The model </w:t>
      </w:r>
      <w:r w:rsidR="00E67885" w:rsidRPr="00D66124">
        <w:rPr>
          <w:bCs/>
          <w:lang w:val="en-GB"/>
        </w:rPr>
        <w:t xml:space="preserve">makes </w:t>
      </w:r>
      <w:r w:rsidRPr="00D66124">
        <w:t>projection</w:t>
      </w:r>
      <w:r w:rsidR="00E67885" w:rsidRPr="00D66124">
        <w:t>s</w:t>
      </w:r>
      <w:r>
        <w:t xml:space="preserve"> for cod, sprat and herring biomass for the 21</w:t>
      </w:r>
      <w:r w:rsidRPr="00F414B0">
        <w:rPr>
          <w:vertAlign w:val="superscript"/>
        </w:rPr>
        <w:t>st</w:t>
      </w:r>
      <w:r>
        <w:t xml:space="preserve"> century based on historic (1970s-2005) abundance and hydrographic data, and including predation-competition among fish and zooplankton species.  </w:t>
      </w:r>
    </w:p>
    <w:p w:rsidR="00232C12" w:rsidRDefault="00232C12" w:rsidP="004A6182">
      <w:pPr>
        <w:autoSpaceDE w:val="0"/>
        <w:autoSpaceDN w:val="0"/>
        <w:adjustRightInd w:val="0"/>
      </w:pPr>
    </w:p>
    <w:p w:rsidR="00232C12" w:rsidRDefault="00232C12" w:rsidP="004A6182">
      <w:pPr>
        <w:autoSpaceDE w:val="0"/>
        <w:autoSpaceDN w:val="0"/>
        <w:adjustRightInd w:val="0"/>
      </w:pPr>
      <w:r>
        <w:t>New analyses using a simpler cod-environment recruitment have simulated how climate change, exploitation and a recovering seal population might affect development of the cod stock in the 21</w:t>
      </w:r>
      <w:r w:rsidRPr="00232C12">
        <w:rPr>
          <w:vertAlign w:val="superscript"/>
        </w:rPr>
        <w:t>st</w:t>
      </w:r>
      <w:r>
        <w:t xml:space="preserve"> century.  A manuscript will be submitted to a peer-reviewed journal on this topic later in 2010.</w:t>
      </w:r>
    </w:p>
    <w:p w:rsidR="00564DBA" w:rsidRDefault="00564DBA" w:rsidP="004A6182">
      <w:pPr>
        <w:autoSpaceDE w:val="0"/>
        <w:autoSpaceDN w:val="0"/>
        <w:adjustRightInd w:val="0"/>
      </w:pPr>
    </w:p>
    <w:p w:rsidR="00564DBA" w:rsidRDefault="00564DBA" w:rsidP="004A6182">
      <w:pPr>
        <w:autoSpaceDE w:val="0"/>
        <w:autoSpaceDN w:val="0"/>
        <w:adjustRightInd w:val="0"/>
      </w:pPr>
      <w:r>
        <w:t>All results must be considered as very preliminary.  Nevertheless the attempts have been very successful in identifying and developing the links between various models.</w:t>
      </w:r>
    </w:p>
    <w:p w:rsidR="00E67885" w:rsidRPr="00FB545C" w:rsidRDefault="00E67885" w:rsidP="004A6182">
      <w:pPr>
        <w:autoSpaceDE w:val="0"/>
        <w:autoSpaceDN w:val="0"/>
        <w:adjustRightInd w:val="0"/>
      </w:pPr>
    </w:p>
    <w:p w:rsidR="00D91D92" w:rsidRPr="00FB545C" w:rsidRDefault="00D91D92" w:rsidP="00D91D92">
      <w:pPr>
        <w:rPr>
          <w:color w:val="000000"/>
          <w:lang w:val="en-CA" w:eastAsia="da-DK"/>
        </w:rPr>
      </w:pPr>
      <w:r w:rsidRPr="00FB545C">
        <w:rPr>
          <w:color w:val="000000"/>
          <w:lang w:val="en-CA" w:eastAsia="da-DK"/>
        </w:rPr>
        <w:t>Plans for next 6-12 months</w:t>
      </w:r>
    </w:p>
    <w:p w:rsidR="00D91D92" w:rsidRPr="00FB545C" w:rsidRDefault="00D91D92" w:rsidP="00D91D92">
      <w:pPr>
        <w:rPr>
          <w:color w:val="000000"/>
          <w:lang w:val="en-CA" w:eastAsia="da-DK"/>
        </w:rPr>
      </w:pPr>
    </w:p>
    <w:p w:rsidR="00F140DD" w:rsidRPr="00FB545C" w:rsidRDefault="00F140DD" w:rsidP="00D91D92">
      <w:pPr>
        <w:rPr>
          <w:color w:val="000000"/>
          <w:lang w:val="en-CA" w:eastAsia="da-DK"/>
        </w:rPr>
      </w:pPr>
      <w:r w:rsidRPr="00FB545C">
        <w:rPr>
          <w:color w:val="000000"/>
          <w:lang w:val="en-CA" w:eastAsia="da-DK"/>
        </w:rPr>
        <w:t>Considerably more e</w:t>
      </w:r>
      <w:r w:rsidR="00D91D92" w:rsidRPr="00FB545C">
        <w:rPr>
          <w:color w:val="000000"/>
          <w:lang w:val="en-CA" w:eastAsia="da-DK"/>
        </w:rPr>
        <w:t xml:space="preserve">ffort will be allocated to analyses and interpretation of model outputs from wp1 and wp2 of historical data for the key variables </w:t>
      </w:r>
      <w:r w:rsidRPr="00FB545C">
        <w:rPr>
          <w:color w:val="000000"/>
          <w:lang w:val="en-CA" w:eastAsia="da-DK"/>
        </w:rPr>
        <w:t xml:space="preserve">(e. g., cod reproductive volume, temperature, salinity) </w:t>
      </w:r>
      <w:r w:rsidR="00D91D92" w:rsidRPr="00FB545C">
        <w:rPr>
          <w:color w:val="000000"/>
          <w:lang w:val="en-CA" w:eastAsia="da-DK"/>
        </w:rPr>
        <w:t xml:space="preserve">that will be used in future scenaro modelling.  </w:t>
      </w:r>
      <w:r w:rsidRPr="00FB545C">
        <w:rPr>
          <w:color w:val="000000"/>
          <w:lang w:val="en-CA" w:eastAsia="da-DK"/>
        </w:rPr>
        <w:t xml:space="preserve">See also subtask 3.1. </w:t>
      </w:r>
    </w:p>
    <w:p w:rsidR="00F140DD" w:rsidRPr="00FB545C" w:rsidRDefault="00F140DD" w:rsidP="00D91D92">
      <w:pPr>
        <w:rPr>
          <w:color w:val="000000"/>
          <w:lang w:val="en-CA" w:eastAsia="da-DK"/>
        </w:rPr>
      </w:pPr>
    </w:p>
    <w:p w:rsidR="00F140DD" w:rsidRPr="00FB545C" w:rsidRDefault="00F140DD" w:rsidP="00F140DD">
      <w:pPr>
        <w:rPr>
          <w:color w:val="000000"/>
          <w:lang w:val="en-CA" w:eastAsia="da-DK"/>
        </w:rPr>
      </w:pPr>
      <w:r w:rsidRPr="00FB545C">
        <w:rPr>
          <w:color w:val="000000"/>
          <w:lang w:val="en-CA" w:eastAsia="da-DK"/>
        </w:rPr>
        <w:t>The wp will arrange a small workshop for Ecosupport participants in late summer-early fall 2010 regarding how to use the output modelled data from wp1 and wp2 in foodweb and population models.  Expected outputs are increased knowledge and experience of the practical implementation and handling of the output datasets for the biological and ecosystem modelling.</w:t>
      </w:r>
    </w:p>
    <w:p w:rsidR="00F140DD" w:rsidRPr="00FB545C" w:rsidRDefault="00F140DD" w:rsidP="00D91D92">
      <w:pPr>
        <w:rPr>
          <w:color w:val="000000"/>
          <w:lang w:val="en-CA" w:eastAsia="da-DK"/>
        </w:rPr>
      </w:pPr>
    </w:p>
    <w:p w:rsidR="00D91D92" w:rsidRPr="00FB545C" w:rsidRDefault="00D91D92" w:rsidP="00D91D92">
      <w:pPr>
        <w:rPr>
          <w:color w:val="000000"/>
          <w:lang w:val="en-CA" w:eastAsia="da-DK"/>
        </w:rPr>
      </w:pPr>
      <w:r w:rsidRPr="00FB545C">
        <w:rPr>
          <w:color w:val="000000"/>
          <w:lang w:val="en-CA" w:eastAsia="da-DK"/>
        </w:rPr>
        <w:t>Some dissemination of results will be made at meetings and in literature.  See dissemination section at end of report.</w:t>
      </w:r>
    </w:p>
    <w:p w:rsidR="00E67885" w:rsidRPr="00E67885" w:rsidRDefault="00E67885" w:rsidP="00B903A3">
      <w:pPr>
        <w:autoSpaceDE w:val="0"/>
      </w:pPr>
    </w:p>
    <w:p w:rsidR="00564DBA" w:rsidRPr="00564DBA" w:rsidRDefault="00B903A3" w:rsidP="00B903A3">
      <w:pPr>
        <w:autoSpaceDE w:val="0"/>
        <w:rPr>
          <w:b/>
          <w:bCs/>
        </w:rPr>
      </w:pPr>
      <w:r>
        <w:rPr>
          <w:b/>
          <w:bCs/>
        </w:rPr>
        <w:lastRenderedPageBreak/>
        <w:t>Task 3.3: Quantification of uncertainty of future food-web projections (1-36)</w:t>
      </w:r>
    </w:p>
    <w:p w:rsidR="00564DBA" w:rsidRDefault="00564DBA" w:rsidP="00B903A3">
      <w:pPr>
        <w:autoSpaceDE w:val="0"/>
        <w:rPr>
          <w:bCs/>
        </w:rPr>
      </w:pPr>
    </w:p>
    <w:p w:rsidR="00F414B0" w:rsidRDefault="00F414B0" w:rsidP="00F414B0">
      <w:pPr>
        <w:autoSpaceDE w:val="0"/>
        <w:jc w:val="both"/>
        <w:rPr>
          <w:bCs/>
        </w:rPr>
      </w:pPr>
      <w:r w:rsidRPr="00BF1B27">
        <w:rPr>
          <w:bCs/>
          <w:i/>
          <w:u w:val="single"/>
        </w:rPr>
        <w:t>Deliverable</w:t>
      </w:r>
      <w:r w:rsidRPr="00BF1B27">
        <w:rPr>
          <w:bCs/>
          <w:u w:val="single"/>
        </w:rPr>
        <w:t>:</w:t>
      </w:r>
      <w:r>
        <w:rPr>
          <w:bCs/>
        </w:rPr>
        <w:t xml:space="preserve"> Probabilistic uncertainty assessments of biological responses (e. g., populations, food web structure) to model structure and forcing scenarios (33)</w:t>
      </w:r>
    </w:p>
    <w:p w:rsidR="00F414B0" w:rsidRPr="00BF1B27" w:rsidRDefault="00F414B0" w:rsidP="00F414B0">
      <w:pPr>
        <w:autoSpaceDE w:val="0"/>
        <w:jc w:val="both"/>
        <w:rPr>
          <w:bCs/>
        </w:rPr>
      </w:pPr>
      <w:r w:rsidRPr="00BF1B27">
        <w:rPr>
          <w:bCs/>
          <w:i/>
          <w:u w:val="single"/>
        </w:rPr>
        <w:t>Milestones and expected results:</w:t>
      </w:r>
      <w:r>
        <w:rPr>
          <w:bCs/>
        </w:rPr>
        <w:t xml:space="preserve"> Estimates of future development of populations and food webs in response to future scenarios of eutrophication, climate change and exploitation</w:t>
      </w:r>
    </w:p>
    <w:p w:rsidR="00F414B0" w:rsidRDefault="00F414B0" w:rsidP="00B903A3">
      <w:pPr>
        <w:autoSpaceDE w:val="0"/>
        <w:rPr>
          <w:bCs/>
        </w:rPr>
      </w:pPr>
    </w:p>
    <w:p w:rsidR="00F414B0" w:rsidRPr="00F414B0" w:rsidRDefault="00F414B0" w:rsidP="00F414B0">
      <w:pPr>
        <w:autoSpaceDE w:val="0"/>
        <w:rPr>
          <w:b/>
          <w:bCs/>
        </w:rPr>
      </w:pPr>
      <w:r w:rsidRPr="00F414B0">
        <w:rPr>
          <w:b/>
          <w:bCs/>
        </w:rPr>
        <w:t>Activities in months 1</w:t>
      </w:r>
      <w:r w:rsidR="00232C12">
        <w:rPr>
          <w:b/>
          <w:bCs/>
        </w:rPr>
        <w:t>2</w:t>
      </w:r>
      <w:r w:rsidRPr="00F414B0">
        <w:rPr>
          <w:b/>
          <w:bCs/>
        </w:rPr>
        <w:t>-</w:t>
      </w:r>
      <w:r w:rsidR="00232C12">
        <w:rPr>
          <w:b/>
          <w:bCs/>
        </w:rPr>
        <w:t>1</w:t>
      </w:r>
      <w:r w:rsidRPr="00F414B0">
        <w:rPr>
          <w:b/>
          <w:bCs/>
        </w:rPr>
        <w:t>6:</w:t>
      </w:r>
    </w:p>
    <w:p w:rsidR="00AE6050" w:rsidRDefault="00AE6050" w:rsidP="00B903A3">
      <w:pPr>
        <w:autoSpaceDE w:val="0"/>
        <w:rPr>
          <w:bCs/>
        </w:rPr>
      </w:pPr>
    </w:p>
    <w:p w:rsidR="00AE6050" w:rsidRDefault="00E1681F" w:rsidP="00B903A3">
      <w:pPr>
        <w:autoSpaceDE w:val="0"/>
        <w:rPr>
          <w:bCs/>
        </w:rPr>
      </w:pPr>
      <w:r>
        <w:rPr>
          <w:bCs/>
        </w:rPr>
        <w:t>The sub-task is n</w:t>
      </w:r>
      <w:r w:rsidR="00AE6050">
        <w:rPr>
          <w:bCs/>
        </w:rPr>
        <w:t>ot scheduled to start until month 25.</w:t>
      </w:r>
      <w:r w:rsidR="00564DBA">
        <w:rPr>
          <w:bCs/>
        </w:rPr>
        <w:t xml:space="preserve">  However, a large amount of  preparatory work has been conducted in this sub-task, mainly in relation to other projects and activities.   </w:t>
      </w:r>
    </w:p>
    <w:p w:rsidR="00AE6050" w:rsidRDefault="00AE6050" w:rsidP="00B903A3">
      <w:pPr>
        <w:autoSpaceDE w:val="0"/>
        <w:rPr>
          <w:bCs/>
        </w:rPr>
      </w:pPr>
    </w:p>
    <w:p w:rsidR="00E1681F" w:rsidRDefault="00564DBA" w:rsidP="00B903A3">
      <w:pPr>
        <w:autoSpaceDE w:val="0"/>
        <w:rPr>
          <w:bCs/>
        </w:rPr>
      </w:pPr>
      <w:r>
        <w:rPr>
          <w:bCs/>
        </w:rPr>
        <w:t xml:space="preserve">The food web projections will be sensitive to both the climate development (including the CO2 emission scenario used), the eutrophication development and fishery developments.  </w:t>
      </w:r>
    </w:p>
    <w:p w:rsidR="00E1681F" w:rsidRDefault="00E1681F" w:rsidP="00B903A3">
      <w:pPr>
        <w:autoSpaceDE w:val="0"/>
        <w:rPr>
          <w:bCs/>
        </w:rPr>
      </w:pPr>
    </w:p>
    <w:p w:rsidR="00564DBA" w:rsidRDefault="00564DBA" w:rsidP="00B903A3">
      <w:pPr>
        <w:autoSpaceDE w:val="0"/>
        <w:rPr>
          <w:bCs/>
          <w:lang w:val="en-GB"/>
        </w:rPr>
      </w:pPr>
      <w:r>
        <w:rPr>
          <w:bCs/>
        </w:rPr>
        <w:t xml:space="preserve">Some preliminary analyses of uncertainty of the foodweb projections have been conducted by 2 Eco-support partners in the ICES – Helcom </w:t>
      </w:r>
      <w:r>
        <w:rPr>
          <w:bCs/>
          <w:lang w:val="en-GB"/>
        </w:rPr>
        <w:t xml:space="preserve">Working Group on Integrated Ecosystem Assessment of the Baltic Sea, which met in </w:t>
      </w:r>
      <w:r w:rsidR="00232C12">
        <w:rPr>
          <w:bCs/>
          <w:lang w:val="en-GB"/>
        </w:rPr>
        <w:t>April 2010</w:t>
      </w:r>
      <w:r>
        <w:rPr>
          <w:bCs/>
          <w:lang w:val="en-GB"/>
        </w:rPr>
        <w:t>, in</w:t>
      </w:r>
      <w:r w:rsidR="00232C12">
        <w:rPr>
          <w:bCs/>
          <w:lang w:val="en-GB"/>
        </w:rPr>
        <w:t xml:space="preserve"> Copenhagen. </w:t>
      </w:r>
      <w:r>
        <w:rPr>
          <w:bCs/>
          <w:lang w:val="en-GB"/>
        </w:rPr>
        <w:t xml:space="preserve"> </w:t>
      </w:r>
    </w:p>
    <w:p w:rsidR="00232C12" w:rsidRDefault="00232C12" w:rsidP="00B903A3">
      <w:pPr>
        <w:autoSpaceDE w:val="0"/>
        <w:rPr>
          <w:bCs/>
        </w:rPr>
      </w:pPr>
    </w:p>
    <w:p w:rsidR="00564DBA" w:rsidRDefault="00564DBA" w:rsidP="00564DBA">
      <w:pPr>
        <w:autoSpaceDE w:val="0"/>
        <w:autoSpaceDN w:val="0"/>
        <w:adjustRightInd w:val="0"/>
      </w:pPr>
      <w:r>
        <w:t>All results must be considered as very preliminary.  Nevertheless the attempts have been very successful in identifying and developing the links between various models.</w:t>
      </w:r>
    </w:p>
    <w:p w:rsidR="00564DBA" w:rsidRDefault="00564DBA" w:rsidP="00564DBA">
      <w:pPr>
        <w:autoSpaceDE w:val="0"/>
        <w:autoSpaceDN w:val="0"/>
        <w:adjustRightInd w:val="0"/>
      </w:pPr>
    </w:p>
    <w:p w:rsidR="00564DBA" w:rsidRDefault="00564DBA" w:rsidP="00564DBA">
      <w:pPr>
        <w:autoSpaceDE w:val="0"/>
      </w:pPr>
      <w:r>
        <w:t xml:space="preserve">The results are documented and </w:t>
      </w:r>
      <w:r w:rsidR="00232C12">
        <w:t xml:space="preserve">will be </w:t>
      </w:r>
      <w:r>
        <w:t xml:space="preserve">available in the </w:t>
      </w:r>
      <w:r w:rsidR="00232C12">
        <w:t xml:space="preserve">2010 </w:t>
      </w:r>
      <w:r>
        <w:t xml:space="preserve">report from the working group </w:t>
      </w:r>
      <w:r w:rsidR="00232C12">
        <w:t xml:space="preserve">later in this year </w:t>
      </w:r>
      <w:r>
        <w:t xml:space="preserve">(available at </w:t>
      </w:r>
      <w:hyperlink r:id="rId7" w:history="1">
        <w:r w:rsidRPr="00FB1247">
          <w:rPr>
            <w:rStyle w:val="Hyperlink"/>
          </w:rPr>
          <w:t>http://www.ices.dk/reports/BCC/2009/WGIAB09.pdf</w:t>
        </w:r>
      </w:hyperlink>
      <w:r>
        <w:t xml:space="preserve">).  </w:t>
      </w:r>
    </w:p>
    <w:p w:rsidR="00DA2149" w:rsidRDefault="00DA2149"/>
    <w:p w:rsidR="00F140DD" w:rsidRPr="00FB545C" w:rsidRDefault="00F140DD" w:rsidP="00F140DD">
      <w:pPr>
        <w:rPr>
          <w:color w:val="000000"/>
          <w:lang w:val="en-CA" w:eastAsia="da-DK"/>
        </w:rPr>
      </w:pPr>
      <w:r w:rsidRPr="00FB545C">
        <w:rPr>
          <w:color w:val="000000"/>
          <w:lang w:val="en-CA" w:eastAsia="da-DK"/>
        </w:rPr>
        <w:t>Plans for next 6-12 months:</w:t>
      </w:r>
    </w:p>
    <w:p w:rsidR="00F140DD" w:rsidRPr="00FB545C" w:rsidRDefault="00F140DD" w:rsidP="00F140DD">
      <w:pPr>
        <w:rPr>
          <w:color w:val="000000"/>
          <w:lang w:val="en-CA" w:eastAsia="da-DK"/>
        </w:rPr>
      </w:pPr>
    </w:p>
    <w:p w:rsidR="00F140DD" w:rsidRPr="00FB545C" w:rsidRDefault="00F140DD" w:rsidP="00F140DD">
      <w:pPr>
        <w:rPr>
          <w:color w:val="000000"/>
          <w:lang w:val="en-CA" w:eastAsia="da-DK"/>
        </w:rPr>
      </w:pPr>
      <w:r w:rsidRPr="00FB545C">
        <w:rPr>
          <w:color w:val="000000"/>
          <w:lang w:val="en-CA" w:eastAsia="da-DK"/>
        </w:rPr>
        <w:t>The wp will arrange a small workshop for Ecosupport participants in late summer-early fall 2010 regarding how to use the output modelled data from wp1 and wp2 in foodweb and population models.  Expected outputs are increased knowledge and experience of the practical implementation and handling of the output datasets for the biological and ecosystem modelling.</w:t>
      </w:r>
    </w:p>
    <w:p w:rsidR="00F140DD" w:rsidRDefault="00F140DD"/>
    <w:p w:rsidR="00F140DD" w:rsidRDefault="00F140DD"/>
    <w:p w:rsidR="00B903A3" w:rsidRDefault="00B903A3" w:rsidP="00B903A3">
      <w:pPr>
        <w:autoSpaceDE w:val="0"/>
        <w:jc w:val="both"/>
        <w:rPr>
          <w:b/>
          <w:bCs/>
        </w:rPr>
      </w:pPr>
      <w:r w:rsidRPr="00BF3549">
        <w:rPr>
          <w:b/>
          <w:bCs/>
        </w:rPr>
        <w:t>Gantt chart or similar to show the timing of different Wor</w:t>
      </w:r>
      <w:r>
        <w:rPr>
          <w:b/>
          <w:bCs/>
        </w:rPr>
        <w:t>k packages and Tasks</w:t>
      </w:r>
    </w:p>
    <w:p w:rsidR="00B903A3" w:rsidRDefault="00B903A3" w:rsidP="00B903A3">
      <w:pPr>
        <w:autoSpaceDE w:val="0"/>
        <w:jc w:val="both"/>
        <w:rPr>
          <w:b/>
          <w:bCs/>
        </w:rPr>
      </w:pPr>
    </w:p>
    <w:p w:rsidR="00B903A3" w:rsidRPr="00E201DC" w:rsidRDefault="00B903A3" w:rsidP="00B903A3">
      <w:pPr>
        <w:autoSpaceDE w:val="0"/>
        <w:jc w:val="both"/>
        <w:rPr>
          <w:bCs/>
        </w:rPr>
      </w:pPr>
      <w:r>
        <w:rPr>
          <w:bCs/>
        </w:rPr>
        <w:t>Light grey: preparatory phase (some forcing data are still missing)</w:t>
      </w:r>
    </w:p>
    <w:p w:rsidR="00B903A3" w:rsidRDefault="00B903A3" w:rsidP="00B903A3">
      <w:pPr>
        <w:autoSpaceDE w:val="0"/>
        <w:jc w:val="both"/>
        <w:rPr>
          <w:b/>
          <w:bCs/>
        </w:rPr>
      </w:pPr>
    </w:p>
    <w:tbl>
      <w:tblPr>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6A0"/>
      </w:tblPr>
      <w:tblGrid>
        <w:gridCol w:w="358"/>
        <w:gridCol w:w="210"/>
        <w:gridCol w:w="210"/>
        <w:gridCol w:w="209"/>
        <w:gridCol w:w="209"/>
        <w:gridCol w:w="209"/>
        <w:gridCol w:w="209"/>
        <w:gridCol w:w="209"/>
        <w:gridCol w:w="209"/>
        <w:gridCol w:w="209"/>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gridCol w:w="232"/>
      </w:tblGrid>
      <w:tr w:rsidR="00B903A3" w:rsidRPr="00811F96" w:rsidTr="00B903A3">
        <w:trPr>
          <w:trHeight w:val="57"/>
        </w:trPr>
        <w:tc>
          <w:tcPr>
            <w:tcW w:w="358" w:type="dxa"/>
            <w:vAlign w:val="center"/>
          </w:tcPr>
          <w:p w:rsidR="00B903A3" w:rsidRPr="00811F96" w:rsidRDefault="00B903A3" w:rsidP="00B903A3">
            <w:pPr>
              <w:jc w:val="both"/>
              <w:rPr>
                <w:b/>
                <w:sz w:val="12"/>
              </w:rPr>
            </w:pPr>
          </w:p>
        </w:tc>
        <w:tc>
          <w:tcPr>
            <w:tcW w:w="210" w:type="dxa"/>
            <w:vAlign w:val="center"/>
          </w:tcPr>
          <w:p w:rsidR="00B903A3" w:rsidRPr="00811F96" w:rsidRDefault="00B903A3" w:rsidP="00B903A3">
            <w:pPr>
              <w:jc w:val="both"/>
              <w:rPr>
                <w:b/>
                <w:sz w:val="12"/>
              </w:rPr>
            </w:pPr>
            <w:r w:rsidRPr="00811F96">
              <w:rPr>
                <w:b/>
                <w:sz w:val="12"/>
              </w:rPr>
              <w:t>1</w:t>
            </w:r>
          </w:p>
        </w:tc>
        <w:tc>
          <w:tcPr>
            <w:tcW w:w="210" w:type="dxa"/>
            <w:vAlign w:val="center"/>
          </w:tcPr>
          <w:p w:rsidR="00B903A3" w:rsidRPr="00811F96" w:rsidRDefault="00B903A3" w:rsidP="00B903A3">
            <w:pPr>
              <w:jc w:val="both"/>
              <w:rPr>
                <w:b/>
                <w:sz w:val="12"/>
              </w:rPr>
            </w:pPr>
            <w:r w:rsidRPr="00811F96">
              <w:rPr>
                <w:b/>
                <w:sz w:val="12"/>
              </w:rPr>
              <w:t>2</w:t>
            </w:r>
          </w:p>
        </w:tc>
        <w:tc>
          <w:tcPr>
            <w:tcW w:w="209" w:type="dxa"/>
            <w:vAlign w:val="center"/>
          </w:tcPr>
          <w:p w:rsidR="00B903A3" w:rsidRPr="00811F96" w:rsidRDefault="00B903A3" w:rsidP="00B903A3">
            <w:pPr>
              <w:jc w:val="both"/>
              <w:rPr>
                <w:b/>
                <w:sz w:val="12"/>
              </w:rPr>
            </w:pPr>
            <w:r w:rsidRPr="00811F96">
              <w:rPr>
                <w:b/>
                <w:sz w:val="12"/>
              </w:rPr>
              <w:t>3</w:t>
            </w:r>
          </w:p>
        </w:tc>
        <w:tc>
          <w:tcPr>
            <w:tcW w:w="209" w:type="dxa"/>
            <w:vAlign w:val="center"/>
          </w:tcPr>
          <w:p w:rsidR="00B903A3" w:rsidRPr="00811F96" w:rsidRDefault="00B903A3" w:rsidP="00B903A3">
            <w:pPr>
              <w:jc w:val="both"/>
              <w:rPr>
                <w:b/>
                <w:sz w:val="12"/>
              </w:rPr>
            </w:pPr>
            <w:r w:rsidRPr="00811F96">
              <w:rPr>
                <w:b/>
                <w:sz w:val="12"/>
              </w:rPr>
              <w:t>4</w:t>
            </w:r>
          </w:p>
        </w:tc>
        <w:tc>
          <w:tcPr>
            <w:tcW w:w="209" w:type="dxa"/>
            <w:vAlign w:val="center"/>
          </w:tcPr>
          <w:p w:rsidR="00B903A3" w:rsidRPr="00811F96" w:rsidRDefault="00B903A3" w:rsidP="00B903A3">
            <w:pPr>
              <w:jc w:val="both"/>
              <w:rPr>
                <w:b/>
                <w:sz w:val="12"/>
              </w:rPr>
            </w:pPr>
            <w:r w:rsidRPr="00811F96">
              <w:rPr>
                <w:b/>
                <w:sz w:val="12"/>
              </w:rPr>
              <w:t>5</w:t>
            </w:r>
          </w:p>
        </w:tc>
        <w:tc>
          <w:tcPr>
            <w:tcW w:w="209" w:type="dxa"/>
            <w:vAlign w:val="center"/>
          </w:tcPr>
          <w:p w:rsidR="00B903A3" w:rsidRPr="00811F96" w:rsidRDefault="00B903A3" w:rsidP="00B903A3">
            <w:pPr>
              <w:jc w:val="both"/>
              <w:rPr>
                <w:b/>
                <w:sz w:val="12"/>
              </w:rPr>
            </w:pPr>
            <w:r w:rsidRPr="00811F96">
              <w:rPr>
                <w:b/>
                <w:sz w:val="12"/>
              </w:rPr>
              <w:t>6</w:t>
            </w:r>
          </w:p>
        </w:tc>
        <w:tc>
          <w:tcPr>
            <w:tcW w:w="209" w:type="dxa"/>
            <w:tcBorders>
              <w:bottom w:val="single" w:sz="4" w:space="0" w:color="000000"/>
            </w:tcBorders>
            <w:vAlign w:val="center"/>
          </w:tcPr>
          <w:p w:rsidR="00B903A3" w:rsidRPr="00811F96" w:rsidRDefault="00B903A3" w:rsidP="00B903A3">
            <w:pPr>
              <w:jc w:val="both"/>
              <w:rPr>
                <w:b/>
                <w:sz w:val="12"/>
              </w:rPr>
            </w:pPr>
            <w:r w:rsidRPr="00811F96">
              <w:rPr>
                <w:b/>
                <w:sz w:val="12"/>
              </w:rPr>
              <w:t>7</w:t>
            </w:r>
          </w:p>
        </w:tc>
        <w:tc>
          <w:tcPr>
            <w:tcW w:w="209" w:type="dxa"/>
            <w:tcBorders>
              <w:bottom w:val="single" w:sz="4" w:space="0" w:color="000000"/>
            </w:tcBorders>
            <w:vAlign w:val="center"/>
          </w:tcPr>
          <w:p w:rsidR="00B903A3" w:rsidRPr="00811F96" w:rsidRDefault="00B903A3" w:rsidP="00B903A3">
            <w:pPr>
              <w:jc w:val="both"/>
              <w:rPr>
                <w:b/>
                <w:sz w:val="12"/>
              </w:rPr>
            </w:pPr>
            <w:r w:rsidRPr="00811F96">
              <w:rPr>
                <w:b/>
                <w:sz w:val="12"/>
              </w:rPr>
              <w:t>8</w:t>
            </w:r>
          </w:p>
        </w:tc>
        <w:tc>
          <w:tcPr>
            <w:tcW w:w="209" w:type="dxa"/>
            <w:tcBorders>
              <w:bottom w:val="single" w:sz="4" w:space="0" w:color="000000"/>
            </w:tcBorders>
            <w:vAlign w:val="center"/>
          </w:tcPr>
          <w:p w:rsidR="00B903A3" w:rsidRPr="00811F96" w:rsidRDefault="00B903A3" w:rsidP="00B903A3">
            <w:pPr>
              <w:jc w:val="both"/>
              <w:rPr>
                <w:b/>
                <w:sz w:val="12"/>
              </w:rPr>
            </w:pPr>
            <w:r w:rsidRPr="00811F96">
              <w:rPr>
                <w:b/>
                <w:sz w:val="12"/>
              </w:rPr>
              <w:t>9</w:t>
            </w:r>
          </w:p>
        </w:tc>
        <w:tc>
          <w:tcPr>
            <w:tcW w:w="232" w:type="dxa"/>
            <w:vAlign w:val="center"/>
          </w:tcPr>
          <w:p w:rsidR="00B903A3" w:rsidRPr="00811F96" w:rsidRDefault="00B903A3" w:rsidP="00B903A3">
            <w:pPr>
              <w:jc w:val="both"/>
              <w:rPr>
                <w:b/>
                <w:sz w:val="12"/>
              </w:rPr>
            </w:pPr>
            <w:r w:rsidRPr="00811F96">
              <w:rPr>
                <w:b/>
                <w:sz w:val="12"/>
              </w:rPr>
              <w:t>10</w:t>
            </w:r>
          </w:p>
        </w:tc>
        <w:tc>
          <w:tcPr>
            <w:tcW w:w="232" w:type="dxa"/>
            <w:vAlign w:val="center"/>
          </w:tcPr>
          <w:p w:rsidR="00B903A3" w:rsidRPr="00811F96" w:rsidRDefault="00B903A3" w:rsidP="00B903A3">
            <w:pPr>
              <w:jc w:val="both"/>
              <w:rPr>
                <w:b/>
                <w:sz w:val="12"/>
              </w:rPr>
            </w:pPr>
            <w:r w:rsidRPr="00811F96">
              <w:rPr>
                <w:b/>
                <w:sz w:val="12"/>
              </w:rPr>
              <w:t>11</w:t>
            </w:r>
          </w:p>
        </w:tc>
        <w:tc>
          <w:tcPr>
            <w:tcW w:w="232" w:type="dxa"/>
            <w:vAlign w:val="center"/>
          </w:tcPr>
          <w:p w:rsidR="00B903A3" w:rsidRPr="00811F96" w:rsidRDefault="00B903A3" w:rsidP="00B903A3">
            <w:pPr>
              <w:jc w:val="both"/>
              <w:rPr>
                <w:b/>
                <w:sz w:val="12"/>
              </w:rPr>
            </w:pPr>
            <w:r w:rsidRPr="00811F96">
              <w:rPr>
                <w:b/>
                <w:sz w:val="12"/>
              </w:rPr>
              <w:t>12</w:t>
            </w:r>
          </w:p>
        </w:tc>
        <w:tc>
          <w:tcPr>
            <w:tcW w:w="232" w:type="dxa"/>
            <w:vAlign w:val="center"/>
          </w:tcPr>
          <w:p w:rsidR="00B903A3" w:rsidRPr="00811F96" w:rsidRDefault="00B903A3" w:rsidP="00B903A3">
            <w:pPr>
              <w:jc w:val="both"/>
              <w:rPr>
                <w:b/>
                <w:sz w:val="12"/>
              </w:rPr>
            </w:pPr>
            <w:r w:rsidRPr="00811F96">
              <w:rPr>
                <w:b/>
                <w:sz w:val="12"/>
              </w:rPr>
              <w:t>13</w:t>
            </w:r>
          </w:p>
        </w:tc>
        <w:tc>
          <w:tcPr>
            <w:tcW w:w="232" w:type="dxa"/>
            <w:vAlign w:val="center"/>
          </w:tcPr>
          <w:p w:rsidR="00B903A3" w:rsidRPr="00811F96" w:rsidRDefault="00B903A3" w:rsidP="00B903A3">
            <w:pPr>
              <w:jc w:val="both"/>
              <w:rPr>
                <w:b/>
                <w:sz w:val="12"/>
              </w:rPr>
            </w:pPr>
            <w:r w:rsidRPr="00811F96">
              <w:rPr>
                <w:b/>
                <w:sz w:val="12"/>
              </w:rPr>
              <w:t>14</w:t>
            </w:r>
          </w:p>
        </w:tc>
        <w:tc>
          <w:tcPr>
            <w:tcW w:w="232" w:type="dxa"/>
            <w:vAlign w:val="center"/>
          </w:tcPr>
          <w:p w:rsidR="00B903A3" w:rsidRPr="00811F96" w:rsidRDefault="00B903A3" w:rsidP="00B903A3">
            <w:pPr>
              <w:jc w:val="both"/>
              <w:rPr>
                <w:b/>
                <w:sz w:val="12"/>
              </w:rPr>
            </w:pPr>
            <w:r w:rsidRPr="00811F96">
              <w:rPr>
                <w:b/>
                <w:sz w:val="12"/>
              </w:rPr>
              <w:t>15</w:t>
            </w:r>
          </w:p>
        </w:tc>
        <w:tc>
          <w:tcPr>
            <w:tcW w:w="232" w:type="dxa"/>
            <w:vAlign w:val="center"/>
          </w:tcPr>
          <w:p w:rsidR="00B903A3" w:rsidRPr="00811F96" w:rsidRDefault="00B903A3" w:rsidP="00B903A3">
            <w:pPr>
              <w:jc w:val="both"/>
              <w:rPr>
                <w:b/>
                <w:sz w:val="12"/>
              </w:rPr>
            </w:pPr>
            <w:r w:rsidRPr="00811F96">
              <w:rPr>
                <w:b/>
                <w:sz w:val="12"/>
              </w:rPr>
              <w:t>16</w:t>
            </w:r>
          </w:p>
        </w:tc>
        <w:tc>
          <w:tcPr>
            <w:tcW w:w="232" w:type="dxa"/>
            <w:vAlign w:val="center"/>
          </w:tcPr>
          <w:p w:rsidR="00B903A3" w:rsidRPr="00811F96" w:rsidRDefault="00B903A3" w:rsidP="00B903A3">
            <w:pPr>
              <w:jc w:val="both"/>
              <w:rPr>
                <w:b/>
                <w:sz w:val="12"/>
              </w:rPr>
            </w:pPr>
            <w:r w:rsidRPr="00811F96">
              <w:rPr>
                <w:b/>
                <w:sz w:val="12"/>
              </w:rPr>
              <w:t>17</w:t>
            </w:r>
          </w:p>
        </w:tc>
        <w:tc>
          <w:tcPr>
            <w:tcW w:w="232" w:type="dxa"/>
            <w:vAlign w:val="center"/>
          </w:tcPr>
          <w:p w:rsidR="00B903A3" w:rsidRPr="00811F96" w:rsidRDefault="00B903A3" w:rsidP="00B903A3">
            <w:pPr>
              <w:jc w:val="both"/>
              <w:rPr>
                <w:b/>
                <w:sz w:val="12"/>
              </w:rPr>
            </w:pPr>
            <w:r w:rsidRPr="00811F96">
              <w:rPr>
                <w:b/>
                <w:sz w:val="12"/>
              </w:rPr>
              <w:t>18</w:t>
            </w:r>
          </w:p>
        </w:tc>
        <w:tc>
          <w:tcPr>
            <w:tcW w:w="232" w:type="dxa"/>
            <w:vAlign w:val="center"/>
          </w:tcPr>
          <w:p w:rsidR="00B903A3" w:rsidRPr="00811F96" w:rsidRDefault="00B903A3" w:rsidP="00B903A3">
            <w:pPr>
              <w:jc w:val="both"/>
              <w:rPr>
                <w:b/>
                <w:sz w:val="12"/>
              </w:rPr>
            </w:pPr>
            <w:r w:rsidRPr="00811F96">
              <w:rPr>
                <w:b/>
                <w:sz w:val="12"/>
              </w:rPr>
              <w:t>19</w:t>
            </w:r>
          </w:p>
        </w:tc>
        <w:tc>
          <w:tcPr>
            <w:tcW w:w="232" w:type="dxa"/>
            <w:vAlign w:val="center"/>
          </w:tcPr>
          <w:p w:rsidR="00B903A3" w:rsidRPr="00811F96" w:rsidRDefault="00B903A3" w:rsidP="00B903A3">
            <w:pPr>
              <w:jc w:val="both"/>
              <w:rPr>
                <w:b/>
                <w:sz w:val="12"/>
              </w:rPr>
            </w:pPr>
            <w:r w:rsidRPr="00811F96">
              <w:rPr>
                <w:b/>
                <w:sz w:val="12"/>
              </w:rPr>
              <w:t>20</w:t>
            </w:r>
          </w:p>
        </w:tc>
        <w:tc>
          <w:tcPr>
            <w:tcW w:w="232" w:type="dxa"/>
            <w:vAlign w:val="center"/>
          </w:tcPr>
          <w:p w:rsidR="00B903A3" w:rsidRPr="00811F96" w:rsidRDefault="00B903A3" w:rsidP="00B903A3">
            <w:pPr>
              <w:jc w:val="both"/>
              <w:rPr>
                <w:b/>
                <w:sz w:val="12"/>
              </w:rPr>
            </w:pPr>
            <w:r w:rsidRPr="00811F96">
              <w:rPr>
                <w:b/>
                <w:sz w:val="12"/>
              </w:rPr>
              <w:t>21</w:t>
            </w:r>
          </w:p>
        </w:tc>
        <w:tc>
          <w:tcPr>
            <w:tcW w:w="232" w:type="dxa"/>
            <w:vAlign w:val="center"/>
          </w:tcPr>
          <w:p w:rsidR="00B903A3" w:rsidRPr="00811F96" w:rsidRDefault="00B903A3" w:rsidP="00B903A3">
            <w:pPr>
              <w:jc w:val="both"/>
              <w:rPr>
                <w:b/>
                <w:sz w:val="12"/>
              </w:rPr>
            </w:pPr>
            <w:r w:rsidRPr="00811F96">
              <w:rPr>
                <w:b/>
                <w:sz w:val="12"/>
              </w:rPr>
              <w:t>22</w:t>
            </w:r>
          </w:p>
        </w:tc>
        <w:tc>
          <w:tcPr>
            <w:tcW w:w="232" w:type="dxa"/>
            <w:vAlign w:val="center"/>
          </w:tcPr>
          <w:p w:rsidR="00B903A3" w:rsidRPr="00811F96" w:rsidRDefault="00B903A3" w:rsidP="00B903A3">
            <w:pPr>
              <w:jc w:val="both"/>
              <w:rPr>
                <w:b/>
                <w:sz w:val="12"/>
              </w:rPr>
            </w:pPr>
            <w:r w:rsidRPr="00811F96">
              <w:rPr>
                <w:b/>
                <w:sz w:val="12"/>
              </w:rPr>
              <w:t>23</w:t>
            </w:r>
          </w:p>
        </w:tc>
        <w:tc>
          <w:tcPr>
            <w:tcW w:w="232" w:type="dxa"/>
            <w:vAlign w:val="center"/>
          </w:tcPr>
          <w:p w:rsidR="00B903A3" w:rsidRPr="00811F96" w:rsidRDefault="00B903A3" w:rsidP="00B903A3">
            <w:pPr>
              <w:jc w:val="both"/>
              <w:rPr>
                <w:b/>
                <w:sz w:val="12"/>
              </w:rPr>
            </w:pPr>
            <w:r w:rsidRPr="00811F96">
              <w:rPr>
                <w:b/>
                <w:sz w:val="12"/>
              </w:rPr>
              <w:t>24</w:t>
            </w:r>
          </w:p>
        </w:tc>
        <w:tc>
          <w:tcPr>
            <w:tcW w:w="232" w:type="dxa"/>
            <w:vAlign w:val="center"/>
          </w:tcPr>
          <w:p w:rsidR="00B903A3" w:rsidRPr="00811F96" w:rsidRDefault="00B903A3" w:rsidP="00B903A3">
            <w:pPr>
              <w:jc w:val="both"/>
              <w:rPr>
                <w:b/>
                <w:sz w:val="12"/>
              </w:rPr>
            </w:pPr>
            <w:r w:rsidRPr="00811F96">
              <w:rPr>
                <w:b/>
                <w:sz w:val="12"/>
              </w:rPr>
              <w:t>25</w:t>
            </w:r>
          </w:p>
        </w:tc>
        <w:tc>
          <w:tcPr>
            <w:tcW w:w="232" w:type="dxa"/>
            <w:vAlign w:val="center"/>
          </w:tcPr>
          <w:p w:rsidR="00B903A3" w:rsidRPr="00811F96" w:rsidRDefault="00B903A3" w:rsidP="00B903A3">
            <w:pPr>
              <w:jc w:val="both"/>
              <w:rPr>
                <w:b/>
                <w:sz w:val="12"/>
              </w:rPr>
            </w:pPr>
            <w:r w:rsidRPr="00811F96">
              <w:rPr>
                <w:b/>
                <w:sz w:val="12"/>
              </w:rPr>
              <w:t>26</w:t>
            </w:r>
          </w:p>
        </w:tc>
        <w:tc>
          <w:tcPr>
            <w:tcW w:w="232" w:type="dxa"/>
            <w:vAlign w:val="center"/>
          </w:tcPr>
          <w:p w:rsidR="00B903A3" w:rsidRPr="00811F96" w:rsidRDefault="00B903A3" w:rsidP="00B903A3">
            <w:pPr>
              <w:jc w:val="both"/>
              <w:rPr>
                <w:b/>
                <w:sz w:val="12"/>
              </w:rPr>
            </w:pPr>
            <w:r w:rsidRPr="00811F96">
              <w:rPr>
                <w:b/>
                <w:sz w:val="12"/>
              </w:rPr>
              <w:t>27</w:t>
            </w:r>
          </w:p>
        </w:tc>
        <w:tc>
          <w:tcPr>
            <w:tcW w:w="232" w:type="dxa"/>
            <w:vAlign w:val="center"/>
          </w:tcPr>
          <w:p w:rsidR="00B903A3" w:rsidRPr="00811F96" w:rsidRDefault="00B903A3" w:rsidP="00B903A3">
            <w:pPr>
              <w:jc w:val="both"/>
              <w:rPr>
                <w:b/>
                <w:sz w:val="12"/>
              </w:rPr>
            </w:pPr>
            <w:r w:rsidRPr="00811F96">
              <w:rPr>
                <w:b/>
                <w:sz w:val="12"/>
              </w:rPr>
              <w:t>28</w:t>
            </w:r>
          </w:p>
        </w:tc>
        <w:tc>
          <w:tcPr>
            <w:tcW w:w="232" w:type="dxa"/>
            <w:vAlign w:val="center"/>
          </w:tcPr>
          <w:p w:rsidR="00B903A3" w:rsidRPr="00811F96" w:rsidRDefault="00B903A3" w:rsidP="00B903A3">
            <w:pPr>
              <w:jc w:val="both"/>
              <w:rPr>
                <w:b/>
                <w:sz w:val="12"/>
              </w:rPr>
            </w:pPr>
            <w:r w:rsidRPr="00811F96">
              <w:rPr>
                <w:b/>
                <w:sz w:val="12"/>
              </w:rPr>
              <w:t>29</w:t>
            </w:r>
          </w:p>
        </w:tc>
        <w:tc>
          <w:tcPr>
            <w:tcW w:w="232" w:type="dxa"/>
            <w:vAlign w:val="center"/>
          </w:tcPr>
          <w:p w:rsidR="00B903A3" w:rsidRPr="00811F96" w:rsidRDefault="00B903A3" w:rsidP="00B903A3">
            <w:pPr>
              <w:jc w:val="both"/>
              <w:rPr>
                <w:b/>
                <w:sz w:val="12"/>
              </w:rPr>
            </w:pPr>
            <w:r w:rsidRPr="00811F96">
              <w:rPr>
                <w:b/>
                <w:sz w:val="12"/>
              </w:rPr>
              <w:t>30</w:t>
            </w:r>
          </w:p>
        </w:tc>
        <w:tc>
          <w:tcPr>
            <w:tcW w:w="232" w:type="dxa"/>
            <w:vAlign w:val="center"/>
          </w:tcPr>
          <w:p w:rsidR="00B903A3" w:rsidRPr="00811F96" w:rsidRDefault="00B903A3" w:rsidP="00B903A3">
            <w:pPr>
              <w:jc w:val="both"/>
              <w:rPr>
                <w:b/>
                <w:sz w:val="12"/>
              </w:rPr>
            </w:pPr>
            <w:r w:rsidRPr="00811F96">
              <w:rPr>
                <w:b/>
                <w:sz w:val="12"/>
              </w:rPr>
              <w:t>31</w:t>
            </w:r>
          </w:p>
        </w:tc>
        <w:tc>
          <w:tcPr>
            <w:tcW w:w="232" w:type="dxa"/>
            <w:vAlign w:val="center"/>
          </w:tcPr>
          <w:p w:rsidR="00B903A3" w:rsidRPr="00811F96" w:rsidRDefault="00B903A3" w:rsidP="00B903A3">
            <w:pPr>
              <w:jc w:val="both"/>
              <w:rPr>
                <w:b/>
                <w:sz w:val="12"/>
              </w:rPr>
            </w:pPr>
            <w:r w:rsidRPr="00811F96">
              <w:rPr>
                <w:b/>
                <w:sz w:val="12"/>
              </w:rPr>
              <w:t>32</w:t>
            </w:r>
          </w:p>
        </w:tc>
        <w:tc>
          <w:tcPr>
            <w:tcW w:w="232" w:type="dxa"/>
            <w:vAlign w:val="center"/>
          </w:tcPr>
          <w:p w:rsidR="00B903A3" w:rsidRPr="00811F96" w:rsidRDefault="00B903A3" w:rsidP="00B903A3">
            <w:pPr>
              <w:jc w:val="both"/>
              <w:rPr>
                <w:b/>
                <w:sz w:val="12"/>
              </w:rPr>
            </w:pPr>
            <w:r w:rsidRPr="00811F96">
              <w:rPr>
                <w:b/>
                <w:sz w:val="12"/>
              </w:rPr>
              <w:t>33</w:t>
            </w:r>
          </w:p>
        </w:tc>
        <w:tc>
          <w:tcPr>
            <w:tcW w:w="232" w:type="dxa"/>
            <w:vAlign w:val="center"/>
          </w:tcPr>
          <w:p w:rsidR="00B903A3" w:rsidRPr="00811F96" w:rsidRDefault="00B903A3" w:rsidP="00B903A3">
            <w:pPr>
              <w:jc w:val="both"/>
              <w:rPr>
                <w:b/>
                <w:sz w:val="12"/>
              </w:rPr>
            </w:pPr>
            <w:r w:rsidRPr="00811F96">
              <w:rPr>
                <w:b/>
                <w:sz w:val="12"/>
              </w:rPr>
              <w:t>34</w:t>
            </w:r>
          </w:p>
        </w:tc>
        <w:tc>
          <w:tcPr>
            <w:tcW w:w="232" w:type="dxa"/>
            <w:vAlign w:val="center"/>
          </w:tcPr>
          <w:p w:rsidR="00B903A3" w:rsidRPr="00811F96" w:rsidRDefault="00B903A3" w:rsidP="00B903A3">
            <w:pPr>
              <w:jc w:val="both"/>
              <w:rPr>
                <w:b/>
                <w:sz w:val="12"/>
              </w:rPr>
            </w:pPr>
            <w:r w:rsidRPr="00811F96">
              <w:rPr>
                <w:b/>
                <w:sz w:val="12"/>
              </w:rPr>
              <w:t>35</w:t>
            </w:r>
          </w:p>
        </w:tc>
        <w:tc>
          <w:tcPr>
            <w:tcW w:w="232" w:type="dxa"/>
            <w:vAlign w:val="center"/>
          </w:tcPr>
          <w:p w:rsidR="00B903A3" w:rsidRPr="00811F96" w:rsidRDefault="00B903A3" w:rsidP="00B903A3">
            <w:pPr>
              <w:jc w:val="both"/>
              <w:rPr>
                <w:b/>
                <w:sz w:val="12"/>
              </w:rPr>
            </w:pPr>
            <w:r w:rsidRPr="00811F96">
              <w:rPr>
                <w:b/>
                <w:sz w:val="12"/>
              </w:rPr>
              <w:t>36</w:t>
            </w:r>
          </w:p>
        </w:tc>
      </w:tr>
      <w:tr w:rsidR="00B903A3" w:rsidRPr="00811F96" w:rsidTr="00B903A3">
        <w:trPr>
          <w:trHeight w:val="57"/>
        </w:trPr>
        <w:tc>
          <w:tcPr>
            <w:tcW w:w="8505" w:type="dxa"/>
            <w:gridSpan w:val="37"/>
            <w:tcBorders>
              <w:top w:val="nil"/>
              <w:left w:val="nil"/>
              <w:right w:val="nil"/>
            </w:tcBorders>
            <w:vAlign w:val="center"/>
          </w:tcPr>
          <w:p w:rsidR="00B903A3" w:rsidRPr="00811F96" w:rsidRDefault="00B903A3" w:rsidP="00B903A3">
            <w:pPr>
              <w:jc w:val="both"/>
              <w:rPr>
                <w:b/>
                <w:sz w:val="12"/>
              </w:rPr>
            </w:pPr>
          </w:p>
        </w:tc>
      </w:tr>
      <w:tr w:rsidR="00B903A3" w:rsidRPr="00811F96" w:rsidTr="00B903A3">
        <w:trPr>
          <w:trHeight w:val="57"/>
        </w:trPr>
        <w:tc>
          <w:tcPr>
            <w:tcW w:w="358" w:type="dxa"/>
            <w:vAlign w:val="center"/>
          </w:tcPr>
          <w:p w:rsidR="00B903A3" w:rsidRPr="00811F96" w:rsidRDefault="00B903A3" w:rsidP="00B903A3">
            <w:pPr>
              <w:jc w:val="both"/>
              <w:rPr>
                <w:b/>
                <w:sz w:val="12"/>
              </w:rPr>
            </w:pPr>
            <w:r>
              <w:rPr>
                <w:b/>
                <w:sz w:val="12"/>
              </w:rPr>
              <w:t>W3.1</w:t>
            </w:r>
          </w:p>
        </w:tc>
        <w:tc>
          <w:tcPr>
            <w:tcW w:w="210"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10"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CCCCCC"/>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09"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tcBorders>
              <w:top w:val="nil"/>
            </w:tcBorders>
            <w:vAlign w:val="center"/>
          </w:tcPr>
          <w:p w:rsidR="00B903A3" w:rsidRPr="00811F96" w:rsidRDefault="00B903A3" w:rsidP="00B903A3">
            <w:pPr>
              <w:jc w:val="both"/>
              <w:rPr>
                <w:b/>
                <w:sz w:val="12"/>
              </w:rPr>
            </w:pPr>
          </w:p>
        </w:tc>
      </w:tr>
      <w:tr w:rsidR="00B903A3" w:rsidRPr="00811F96" w:rsidTr="00B903A3">
        <w:trPr>
          <w:trHeight w:val="57"/>
        </w:trPr>
        <w:tc>
          <w:tcPr>
            <w:tcW w:w="358" w:type="dxa"/>
            <w:vAlign w:val="center"/>
          </w:tcPr>
          <w:p w:rsidR="00B903A3" w:rsidRPr="00811F96" w:rsidRDefault="00B903A3" w:rsidP="00B903A3">
            <w:pPr>
              <w:jc w:val="both"/>
              <w:rPr>
                <w:b/>
                <w:sz w:val="12"/>
              </w:rPr>
            </w:pPr>
            <w:r>
              <w:rPr>
                <w:b/>
                <w:sz w:val="12"/>
              </w:rPr>
              <w:t>W3.2</w:t>
            </w:r>
          </w:p>
        </w:tc>
        <w:tc>
          <w:tcPr>
            <w:tcW w:w="210" w:type="dxa"/>
            <w:shd w:val="clear" w:color="auto" w:fill="CCCCCC"/>
            <w:vAlign w:val="center"/>
          </w:tcPr>
          <w:p w:rsidR="00B903A3" w:rsidRPr="00811F96" w:rsidRDefault="00B903A3" w:rsidP="00B903A3">
            <w:pPr>
              <w:jc w:val="both"/>
              <w:rPr>
                <w:b/>
                <w:sz w:val="12"/>
              </w:rPr>
            </w:pPr>
          </w:p>
        </w:tc>
        <w:tc>
          <w:tcPr>
            <w:tcW w:w="210"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09"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CCCCCC"/>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shd w:val="clear" w:color="auto" w:fill="7F7F7F"/>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c>
          <w:tcPr>
            <w:tcW w:w="232" w:type="dxa"/>
            <w:tcBorders>
              <w:bottom w:val="single" w:sz="4" w:space="0" w:color="000000"/>
            </w:tcBorders>
            <w:vAlign w:val="center"/>
          </w:tcPr>
          <w:p w:rsidR="00B903A3" w:rsidRPr="00811F96" w:rsidRDefault="00B903A3" w:rsidP="00B903A3">
            <w:pPr>
              <w:jc w:val="both"/>
              <w:rPr>
                <w:b/>
                <w:sz w:val="12"/>
              </w:rPr>
            </w:pPr>
          </w:p>
        </w:tc>
      </w:tr>
      <w:tr w:rsidR="00B903A3" w:rsidRPr="00811F96" w:rsidTr="00B903A3">
        <w:trPr>
          <w:trHeight w:val="57"/>
        </w:trPr>
        <w:tc>
          <w:tcPr>
            <w:tcW w:w="358" w:type="dxa"/>
            <w:vAlign w:val="center"/>
          </w:tcPr>
          <w:p w:rsidR="00B903A3" w:rsidRPr="00811F96" w:rsidRDefault="00B903A3" w:rsidP="00B903A3">
            <w:pPr>
              <w:jc w:val="both"/>
              <w:rPr>
                <w:b/>
                <w:sz w:val="12"/>
              </w:rPr>
            </w:pPr>
            <w:r>
              <w:rPr>
                <w:b/>
                <w:sz w:val="12"/>
              </w:rPr>
              <w:t>W3.3</w:t>
            </w:r>
          </w:p>
        </w:tc>
        <w:tc>
          <w:tcPr>
            <w:tcW w:w="210" w:type="dxa"/>
            <w:vAlign w:val="center"/>
          </w:tcPr>
          <w:p w:rsidR="00B903A3" w:rsidRPr="00811F96" w:rsidRDefault="00B903A3" w:rsidP="00B903A3">
            <w:pPr>
              <w:jc w:val="both"/>
              <w:rPr>
                <w:b/>
                <w:sz w:val="12"/>
              </w:rPr>
            </w:pPr>
          </w:p>
        </w:tc>
        <w:tc>
          <w:tcPr>
            <w:tcW w:w="210"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09"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vAlign w:val="center"/>
          </w:tcPr>
          <w:p w:rsidR="00B903A3" w:rsidRPr="00811F96" w:rsidRDefault="00B903A3" w:rsidP="00B903A3">
            <w:pPr>
              <w:jc w:val="both"/>
              <w:rPr>
                <w:b/>
                <w:sz w:val="12"/>
              </w:rPr>
            </w:pPr>
          </w:p>
        </w:tc>
        <w:tc>
          <w:tcPr>
            <w:tcW w:w="232" w:type="dxa"/>
            <w:shd w:val="clear" w:color="auto" w:fill="auto"/>
            <w:vAlign w:val="center"/>
          </w:tcPr>
          <w:p w:rsidR="00B903A3" w:rsidRPr="00811F96" w:rsidRDefault="00B903A3" w:rsidP="00B903A3">
            <w:pPr>
              <w:jc w:val="both"/>
              <w:rPr>
                <w:b/>
                <w:sz w:val="12"/>
              </w:rPr>
            </w:pPr>
          </w:p>
        </w:tc>
        <w:tc>
          <w:tcPr>
            <w:tcW w:w="232" w:type="dxa"/>
            <w:shd w:val="clear" w:color="auto" w:fill="auto"/>
            <w:vAlign w:val="center"/>
          </w:tcPr>
          <w:p w:rsidR="00B903A3" w:rsidRPr="00811F96" w:rsidRDefault="00B903A3" w:rsidP="00B903A3">
            <w:pPr>
              <w:jc w:val="both"/>
              <w:rPr>
                <w:b/>
                <w:sz w:val="12"/>
              </w:rPr>
            </w:pPr>
          </w:p>
        </w:tc>
        <w:tc>
          <w:tcPr>
            <w:tcW w:w="232" w:type="dxa"/>
            <w:shd w:val="clear" w:color="auto" w:fill="auto"/>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D9D9D9"/>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c>
          <w:tcPr>
            <w:tcW w:w="232" w:type="dxa"/>
            <w:shd w:val="clear" w:color="auto" w:fill="7F7F7F"/>
            <w:vAlign w:val="center"/>
          </w:tcPr>
          <w:p w:rsidR="00B903A3" w:rsidRPr="00811F96" w:rsidRDefault="00B903A3" w:rsidP="00B903A3">
            <w:pPr>
              <w:jc w:val="both"/>
              <w:rPr>
                <w:b/>
                <w:sz w:val="12"/>
              </w:rPr>
            </w:pPr>
          </w:p>
        </w:tc>
      </w:tr>
      <w:tr w:rsidR="00B903A3" w:rsidRPr="00811F96" w:rsidTr="00B903A3">
        <w:trPr>
          <w:trHeight w:val="57"/>
        </w:trPr>
        <w:tc>
          <w:tcPr>
            <w:tcW w:w="8505" w:type="dxa"/>
            <w:gridSpan w:val="37"/>
            <w:tcBorders>
              <w:top w:val="nil"/>
              <w:left w:val="nil"/>
              <w:right w:val="nil"/>
            </w:tcBorders>
            <w:vAlign w:val="center"/>
          </w:tcPr>
          <w:p w:rsidR="00B903A3" w:rsidRPr="00811F96" w:rsidRDefault="00B903A3" w:rsidP="00B903A3">
            <w:pPr>
              <w:jc w:val="both"/>
              <w:rPr>
                <w:b/>
                <w:sz w:val="12"/>
              </w:rPr>
            </w:pPr>
          </w:p>
        </w:tc>
      </w:tr>
    </w:tbl>
    <w:p w:rsidR="00B903A3" w:rsidRPr="00BF3549" w:rsidRDefault="00B903A3" w:rsidP="00B903A3">
      <w:pPr>
        <w:autoSpaceDE w:val="0"/>
        <w:jc w:val="both"/>
        <w:rPr>
          <w:b/>
          <w:bCs/>
        </w:rPr>
      </w:pPr>
    </w:p>
    <w:p w:rsidR="00B903A3" w:rsidRDefault="00B903A3" w:rsidP="00B903A3">
      <w:pPr>
        <w:autoSpaceDE w:val="0"/>
        <w:jc w:val="both"/>
        <w:rPr>
          <w:b/>
          <w:bCs/>
        </w:rPr>
      </w:pPr>
    </w:p>
    <w:p w:rsidR="00237F82" w:rsidRPr="00FB545C" w:rsidRDefault="00237F82" w:rsidP="00237F82">
      <w:pPr>
        <w:autoSpaceDE w:val="0"/>
        <w:jc w:val="both"/>
        <w:rPr>
          <w:b/>
          <w:bCs/>
          <w:sz w:val="28"/>
          <w:szCs w:val="28"/>
          <w:lang w:val="en-GB"/>
        </w:rPr>
      </w:pPr>
      <w:r w:rsidRPr="00FB545C">
        <w:rPr>
          <w:b/>
          <w:bCs/>
          <w:sz w:val="28"/>
          <w:szCs w:val="28"/>
          <w:lang w:val="en-GB"/>
        </w:rPr>
        <w:t xml:space="preserve">Dissemination: </w:t>
      </w:r>
    </w:p>
    <w:p w:rsidR="00237F82" w:rsidRDefault="00237F82" w:rsidP="00237F82">
      <w:pPr>
        <w:autoSpaceDE w:val="0"/>
        <w:jc w:val="both"/>
        <w:rPr>
          <w:bCs/>
          <w:lang w:val="en-GB"/>
        </w:rPr>
      </w:pPr>
    </w:p>
    <w:p w:rsidR="00237F82" w:rsidRPr="00FB545C" w:rsidRDefault="00237F82" w:rsidP="00237F82">
      <w:pPr>
        <w:autoSpaceDE w:val="0"/>
        <w:jc w:val="both"/>
        <w:rPr>
          <w:b/>
          <w:bCs/>
          <w:lang w:val="en-GB"/>
        </w:rPr>
      </w:pPr>
      <w:r w:rsidRPr="00FB545C">
        <w:rPr>
          <w:b/>
          <w:bCs/>
          <w:lang w:val="en-GB"/>
        </w:rPr>
        <w:t>Past:</w:t>
      </w:r>
    </w:p>
    <w:p w:rsidR="00237F82" w:rsidRDefault="00237F82" w:rsidP="00237F82">
      <w:pPr>
        <w:autoSpaceDE w:val="0"/>
        <w:jc w:val="both"/>
        <w:rPr>
          <w:bCs/>
          <w:lang w:val="en-GB"/>
        </w:rPr>
      </w:pPr>
    </w:p>
    <w:p w:rsidR="00237F82" w:rsidRDefault="00237F82" w:rsidP="00237F82">
      <w:pPr>
        <w:autoSpaceDE w:val="0"/>
        <w:jc w:val="both"/>
        <w:rPr>
          <w:bCs/>
          <w:lang w:val="en-GB"/>
        </w:rPr>
      </w:pPr>
      <w:r>
        <w:rPr>
          <w:bCs/>
          <w:lang w:val="en-GB"/>
        </w:rPr>
        <w:t>Meetings, workshops, conferences:</w:t>
      </w:r>
    </w:p>
    <w:p w:rsidR="00237F82" w:rsidRDefault="00237F82" w:rsidP="00237F82">
      <w:pPr>
        <w:autoSpaceDE w:val="0"/>
        <w:jc w:val="both"/>
        <w:rPr>
          <w:bCs/>
          <w:lang w:val="en-GB"/>
        </w:rPr>
      </w:pPr>
    </w:p>
    <w:p w:rsidR="00237F82" w:rsidRDefault="00237F82" w:rsidP="00237F82">
      <w:pPr>
        <w:autoSpaceDE w:val="0"/>
        <w:jc w:val="both"/>
        <w:rPr>
          <w:bCs/>
          <w:lang w:val="en-GB"/>
        </w:rPr>
      </w:pPr>
      <w:r>
        <w:rPr>
          <w:bCs/>
          <w:lang w:val="en-GB"/>
        </w:rPr>
        <w:lastRenderedPageBreak/>
        <w:t>Publications and reports:</w:t>
      </w:r>
    </w:p>
    <w:p w:rsidR="00237F82" w:rsidRDefault="00237F82" w:rsidP="00237F82">
      <w:pPr>
        <w:autoSpaceDE w:val="0"/>
        <w:jc w:val="both"/>
        <w:rPr>
          <w:bCs/>
          <w:lang w:val="en-GB"/>
        </w:rPr>
      </w:pPr>
    </w:p>
    <w:p w:rsidR="00237F82" w:rsidRDefault="00237F82" w:rsidP="00237F82">
      <w:pPr>
        <w:tabs>
          <w:tab w:val="left" w:pos="0"/>
        </w:tabs>
        <w:rPr>
          <w:lang w:val="en-GB"/>
        </w:rPr>
      </w:pPr>
      <w:r w:rsidRPr="00731455">
        <w:rPr>
          <w:lang w:val="en-CA"/>
        </w:rPr>
        <w:t xml:space="preserve">Lindegren, M., C. Möllmann, A. Nielsen, K. Brander, B. R. MacKenzie, and N. C. Stenseth. </w:t>
      </w:r>
      <w:r>
        <w:rPr>
          <w:lang w:val="en-GB"/>
        </w:rPr>
        <w:t>2010. Ecological forecasting under climate change - the case of Baltic cod. Proc. Roy. Soc. Lond. B (in press).</w:t>
      </w:r>
    </w:p>
    <w:p w:rsidR="0000761A" w:rsidRDefault="0000761A" w:rsidP="00237F82">
      <w:pPr>
        <w:tabs>
          <w:tab w:val="left" w:pos="0"/>
        </w:tabs>
        <w:rPr>
          <w:lang w:val="en-GB"/>
        </w:rPr>
      </w:pPr>
    </w:p>
    <w:p w:rsidR="0000761A" w:rsidRDefault="0000761A" w:rsidP="0000761A">
      <w:pPr>
        <w:autoSpaceDE w:val="0"/>
        <w:rPr>
          <w:bCs/>
          <w:lang w:val="en-GB"/>
        </w:rPr>
      </w:pPr>
      <w:r>
        <w:rPr>
          <w:bCs/>
          <w:lang w:val="en-GB"/>
        </w:rPr>
        <w:t xml:space="preserve">BNI and DTU Aqua participated in a special workshop in Jan. 2010 arranged by Baltic Sea 2020 on “Trophic Interactions in the Baltic Sea”.  The group produced a joint statement which urged decisionmakers to more fully adopt an ecosystem approach (e. g., accomodating impacts of eutrophication, climate change, etc.) to management of the cod fishery.  The statement was widely published as a “letter to the editor” in major newspapers around the Baltic Sea in different languages.  </w:t>
      </w:r>
    </w:p>
    <w:p w:rsidR="0000761A" w:rsidRDefault="0000761A" w:rsidP="0000761A">
      <w:pPr>
        <w:autoSpaceDE w:val="0"/>
        <w:rPr>
          <w:bCs/>
          <w:lang w:val="en-GB"/>
        </w:rPr>
      </w:pPr>
    </w:p>
    <w:p w:rsidR="00B903A3" w:rsidRPr="00FB545C" w:rsidRDefault="00237F82">
      <w:pPr>
        <w:rPr>
          <w:b/>
        </w:rPr>
      </w:pPr>
      <w:r w:rsidRPr="00FB545C">
        <w:rPr>
          <w:b/>
        </w:rPr>
        <w:t>Planned</w:t>
      </w:r>
      <w:r w:rsidR="002943F4" w:rsidRPr="00FB545C">
        <w:rPr>
          <w:b/>
        </w:rPr>
        <w:t xml:space="preserve"> next 6-12 months</w:t>
      </w:r>
      <w:r w:rsidRPr="00FB545C">
        <w:rPr>
          <w:b/>
        </w:rPr>
        <w:t>:</w:t>
      </w:r>
    </w:p>
    <w:p w:rsidR="00237F82" w:rsidRDefault="00237F82"/>
    <w:p w:rsidR="00237F82" w:rsidRDefault="00237F82" w:rsidP="00237F82">
      <w:pPr>
        <w:autoSpaceDE w:val="0"/>
        <w:jc w:val="both"/>
        <w:rPr>
          <w:bCs/>
          <w:lang w:val="en-GB"/>
        </w:rPr>
      </w:pPr>
      <w:r>
        <w:rPr>
          <w:bCs/>
          <w:lang w:val="en-GB"/>
        </w:rPr>
        <w:t>Meetings, workshops, conferences:</w:t>
      </w:r>
    </w:p>
    <w:p w:rsidR="00237F82" w:rsidRDefault="00237F82"/>
    <w:p w:rsidR="00237F82" w:rsidRDefault="00237F82">
      <w:r>
        <w:t>ICES/HELCOM Working group on Integrated Assessment of the Baltic Sea, Copenhagen, April 12-16, 2010</w:t>
      </w:r>
    </w:p>
    <w:p w:rsidR="00237F82" w:rsidRDefault="00237F82"/>
    <w:p w:rsidR="0000761A" w:rsidRPr="00A26828" w:rsidRDefault="00A26828" w:rsidP="0000761A">
      <w:pPr>
        <w:rPr>
          <w:lang w:val="da-DK" w:eastAsia="da-DK"/>
        </w:rPr>
      </w:pPr>
      <w:r w:rsidRPr="00B71109">
        <w:rPr>
          <w:lang w:val="da-DK" w:eastAsia="da-DK"/>
        </w:rPr>
        <w:t>Blenckner</w:t>
      </w:r>
      <w:r w:rsidRPr="00A26828">
        <w:rPr>
          <w:lang w:val="da-DK" w:eastAsia="da-DK"/>
        </w:rPr>
        <w:t>, T.</w:t>
      </w:r>
      <w:r w:rsidRPr="00B71109">
        <w:rPr>
          <w:lang w:val="da-DK" w:eastAsia="da-DK"/>
        </w:rPr>
        <w:t xml:space="preserve"> </w:t>
      </w:r>
      <w:r w:rsidRPr="00A26828">
        <w:rPr>
          <w:lang w:val="da-DK" w:eastAsia="da-DK"/>
        </w:rPr>
        <w:t>et al.  EUTRO, June 2010, Denmark</w:t>
      </w:r>
    </w:p>
    <w:p w:rsidR="00A26828" w:rsidRPr="00A26828" w:rsidRDefault="00A26828" w:rsidP="00A26828">
      <w:pPr>
        <w:rPr>
          <w:lang w:val="da-DK" w:eastAsia="da-DK"/>
        </w:rPr>
      </w:pPr>
    </w:p>
    <w:p w:rsidR="002943F4" w:rsidRDefault="002943F4" w:rsidP="002943F4">
      <w:pPr>
        <w:rPr>
          <w:lang w:val="en-CA" w:eastAsia="da-DK"/>
        </w:rPr>
      </w:pPr>
      <w:r w:rsidRPr="00B71109">
        <w:rPr>
          <w:lang w:val="en-CA" w:eastAsia="da-DK"/>
        </w:rPr>
        <w:t>Blenckner</w:t>
      </w:r>
      <w:r w:rsidRPr="002943F4">
        <w:rPr>
          <w:lang w:val="en-CA" w:eastAsia="da-DK"/>
        </w:rPr>
        <w:t>, T.</w:t>
      </w:r>
      <w:r w:rsidRPr="00B71109">
        <w:rPr>
          <w:lang w:val="en-CA" w:eastAsia="da-DK"/>
        </w:rPr>
        <w:t xml:space="preserve"> </w:t>
      </w:r>
      <w:r w:rsidRPr="002943F4">
        <w:rPr>
          <w:lang w:val="en-CA" w:eastAsia="da-DK"/>
        </w:rPr>
        <w:t xml:space="preserve">et al.  </w:t>
      </w:r>
      <w:r w:rsidRPr="00B71109">
        <w:rPr>
          <w:lang w:val="en-CA" w:eastAsia="da-DK"/>
        </w:rPr>
        <w:t>ECOSUPPORT conference/annual meeting, Oct. 2010</w:t>
      </w:r>
    </w:p>
    <w:p w:rsidR="002943F4" w:rsidRDefault="002943F4" w:rsidP="002943F4">
      <w:pPr>
        <w:rPr>
          <w:lang w:val="en-CA" w:eastAsia="da-DK"/>
        </w:rPr>
      </w:pPr>
    </w:p>
    <w:p w:rsidR="002943F4" w:rsidRPr="00B71109" w:rsidRDefault="002943F4" w:rsidP="002943F4">
      <w:pPr>
        <w:rPr>
          <w:lang w:val="en-CA" w:eastAsia="da-DK"/>
        </w:rPr>
      </w:pPr>
      <w:r w:rsidRPr="002943F4">
        <w:rPr>
          <w:lang w:val="da-DK" w:eastAsia="da-DK"/>
        </w:rPr>
        <w:t xml:space="preserve">MacKenzie, B. R. </w:t>
      </w:r>
      <w:r w:rsidR="00F140DD">
        <w:rPr>
          <w:lang w:val="da-DK" w:eastAsia="da-DK"/>
        </w:rPr>
        <w:t>e</w:t>
      </w:r>
      <w:r w:rsidRPr="002943F4">
        <w:rPr>
          <w:lang w:val="da-DK" w:eastAsia="da-DK"/>
        </w:rPr>
        <w:t xml:space="preserve">t al. </w:t>
      </w:r>
      <w:r w:rsidRPr="00B71109">
        <w:rPr>
          <w:lang w:val="en-CA" w:eastAsia="da-DK"/>
        </w:rPr>
        <w:t>ECOSUPPORT conference/annual meeting, Oct. 2010</w:t>
      </w:r>
    </w:p>
    <w:p w:rsidR="002943F4" w:rsidRPr="002943F4" w:rsidRDefault="00A26828" w:rsidP="00A26828">
      <w:pPr>
        <w:rPr>
          <w:lang w:val="en-CA" w:eastAsia="da-DK"/>
        </w:rPr>
      </w:pPr>
      <w:r w:rsidRPr="00B71109">
        <w:rPr>
          <w:lang w:val="da-DK" w:eastAsia="da-DK"/>
        </w:rPr>
        <w:br/>
      </w:r>
      <w:r w:rsidR="002943F4" w:rsidRPr="002943F4">
        <w:rPr>
          <w:lang w:val="da-DK" w:eastAsia="da-DK"/>
        </w:rPr>
        <w:t xml:space="preserve">Tomczak, M. T., et al. </w:t>
      </w:r>
      <w:r w:rsidR="002943F4" w:rsidRPr="00B71109">
        <w:rPr>
          <w:lang w:val="en-CA" w:eastAsia="da-DK"/>
        </w:rPr>
        <w:t>ECOSUPPORT conference/annual meeting, Oct. 2010</w:t>
      </w:r>
    </w:p>
    <w:p w:rsidR="00D91D92" w:rsidRDefault="00D91D92" w:rsidP="00D91D92">
      <w:pPr>
        <w:jc w:val="both"/>
        <w:rPr>
          <w:sz w:val="22"/>
          <w:szCs w:val="22"/>
        </w:rPr>
      </w:pPr>
    </w:p>
    <w:p w:rsidR="00D91D92" w:rsidRDefault="00D91D92" w:rsidP="00D91D92">
      <w:pPr>
        <w:jc w:val="both"/>
      </w:pPr>
      <w:r>
        <w:rPr>
          <w:sz w:val="22"/>
          <w:szCs w:val="22"/>
        </w:rPr>
        <w:t>Tomczak, M.</w:t>
      </w:r>
      <w:r w:rsidRPr="00EC18D0">
        <w:rPr>
          <w:sz w:val="22"/>
          <w:szCs w:val="22"/>
        </w:rPr>
        <w:t xml:space="preserve"> T</w:t>
      </w:r>
      <w:r>
        <w:rPr>
          <w:sz w:val="22"/>
          <w:szCs w:val="22"/>
        </w:rPr>
        <w:t xml:space="preserve">., </w:t>
      </w:r>
      <w:r w:rsidRPr="00237F82">
        <w:rPr>
          <w:sz w:val="22"/>
          <w:szCs w:val="22"/>
        </w:rPr>
        <w:t>Eero, M., MacKenzie, B. R., Niranen, S.</w:t>
      </w:r>
      <w:r w:rsidR="00FB545C">
        <w:rPr>
          <w:sz w:val="22"/>
          <w:szCs w:val="22"/>
        </w:rPr>
        <w:t>, Blenckner</w:t>
      </w:r>
      <w:r w:rsidRPr="00237F82">
        <w:rPr>
          <w:sz w:val="22"/>
          <w:szCs w:val="22"/>
        </w:rPr>
        <w:t>, T</w:t>
      </w:r>
      <w:r>
        <w:rPr>
          <w:sz w:val="22"/>
          <w:szCs w:val="22"/>
        </w:rPr>
        <w:t xml:space="preserve">.  </w:t>
      </w:r>
      <w:r w:rsidRPr="00EC18D0">
        <w:t xml:space="preserve">Changes in the </w:t>
      </w:r>
      <w:smartTag w:uri="urn:schemas-microsoft-com:office:smarttags" w:element="place">
        <w:r w:rsidRPr="00EC18D0">
          <w:t>Central Baltic Sea</w:t>
        </w:r>
      </w:smartTag>
      <w:r w:rsidRPr="00EC18D0">
        <w:t xml:space="preserve"> </w:t>
      </w:r>
      <w:r>
        <w:t>E</w:t>
      </w:r>
      <w:r w:rsidRPr="00EC18D0">
        <w:t xml:space="preserve">cosystem </w:t>
      </w:r>
      <w:r>
        <w:t>During the 20</w:t>
      </w:r>
      <w:r w:rsidRPr="00FA3143">
        <w:rPr>
          <w:vertAlign w:val="superscript"/>
        </w:rPr>
        <w:t>th</w:t>
      </w:r>
      <w:r>
        <w:t xml:space="preserve"> </w:t>
      </w:r>
      <w:r w:rsidRPr="00EC18D0">
        <w:t xml:space="preserve"> </w:t>
      </w:r>
      <w:r>
        <w:t>C</w:t>
      </w:r>
      <w:r w:rsidRPr="00EC18D0">
        <w:t>entury</w:t>
      </w:r>
      <w:r>
        <w:t>.  Oceans Past III Conference, Dublin, Ireland, Nov. 2010.</w:t>
      </w:r>
    </w:p>
    <w:p w:rsidR="00A26828" w:rsidRPr="002943F4" w:rsidRDefault="00A26828" w:rsidP="00A26828">
      <w:pPr>
        <w:rPr>
          <w:lang w:val="en-CA" w:eastAsia="da-DK"/>
        </w:rPr>
      </w:pPr>
    </w:p>
    <w:p w:rsidR="00A26828" w:rsidRDefault="00A26828" w:rsidP="00A26828">
      <w:pPr>
        <w:rPr>
          <w:lang w:eastAsia="da-DK"/>
        </w:rPr>
      </w:pPr>
      <w:r>
        <w:rPr>
          <w:lang w:eastAsia="da-DK"/>
        </w:rPr>
        <w:t>Publications and reports:</w:t>
      </w:r>
    </w:p>
    <w:p w:rsidR="00A26828" w:rsidRDefault="00A26828" w:rsidP="00A26828">
      <w:pPr>
        <w:rPr>
          <w:lang w:eastAsia="da-DK"/>
        </w:rPr>
      </w:pPr>
    </w:p>
    <w:p w:rsidR="00A26828" w:rsidRPr="00B71109" w:rsidRDefault="00A26828" w:rsidP="00A26828">
      <w:pPr>
        <w:rPr>
          <w:lang w:eastAsia="da-DK"/>
        </w:rPr>
      </w:pPr>
      <w:r w:rsidRPr="00B71109">
        <w:rPr>
          <w:lang w:eastAsia="da-DK"/>
        </w:rPr>
        <w:t>Blenckner</w:t>
      </w:r>
      <w:r>
        <w:rPr>
          <w:lang w:eastAsia="da-DK"/>
        </w:rPr>
        <w:t>, T.</w:t>
      </w:r>
      <w:r w:rsidRPr="00B71109">
        <w:rPr>
          <w:lang w:eastAsia="da-DK"/>
        </w:rPr>
        <w:t xml:space="preserve"> </w:t>
      </w:r>
      <w:r>
        <w:rPr>
          <w:lang w:eastAsia="da-DK"/>
        </w:rPr>
        <w:t>et al.</w:t>
      </w:r>
      <w:r w:rsidRPr="00B71109">
        <w:rPr>
          <w:lang w:val="en-CA" w:eastAsia="da-DK"/>
        </w:rPr>
        <w:t xml:space="preserve"> A manuscript will be submitted dealing with the analysis of the food-web dynamics in the main 6 Baltic Sea basins in relation to fishing pressure, eutrophication and climate. </w:t>
      </w:r>
      <w:r>
        <w:rPr>
          <w:lang w:val="en-CA" w:eastAsia="da-DK"/>
        </w:rPr>
        <w:t>(in prep.)</w:t>
      </w:r>
    </w:p>
    <w:p w:rsidR="00A26828" w:rsidRDefault="00A26828" w:rsidP="00A26828">
      <w:pPr>
        <w:jc w:val="both"/>
      </w:pPr>
    </w:p>
    <w:p w:rsidR="00F140DD" w:rsidRDefault="00F140DD" w:rsidP="00F140DD">
      <w:pPr>
        <w:tabs>
          <w:tab w:val="left" w:pos="0"/>
        </w:tabs>
        <w:rPr>
          <w:lang w:val="en-CA" w:eastAsia="da-DK"/>
        </w:rPr>
      </w:pPr>
      <w:r>
        <w:rPr>
          <w:lang w:val="en-CA" w:eastAsia="da-DK"/>
        </w:rPr>
        <w:t>Eero, M., B. R. MacKenzie, F. W. Köster, and H. Gislason. 2010. Multi-decadal responses of a cod (</w:t>
      </w:r>
      <w:r w:rsidRPr="00F140DD">
        <w:rPr>
          <w:i/>
          <w:lang w:val="en-CA" w:eastAsia="da-DK"/>
        </w:rPr>
        <w:t>Gadus morhua</w:t>
      </w:r>
      <w:r>
        <w:rPr>
          <w:lang w:val="en-CA" w:eastAsia="da-DK"/>
        </w:rPr>
        <w:t>) population to human-induced trophic changes, exploitation and climate variability. Ecol. Appl. (accepted).</w:t>
      </w:r>
    </w:p>
    <w:p w:rsidR="00F140DD" w:rsidRDefault="00F140DD" w:rsidP="00F140DD">
      <w:pPr>
        <w:tabs>
          <w:tab w:val="left" w:pos="0"/>
        </w:tabs>
        <w:rPr>
          <w:lang w:val="en-CA" w:eastAsia="da-DK"/>
        </w:rPr>
      </w:pPr>
    </w:p>
    <w:p w:rsidR="00A26828" w:rsidRDefault="00A26828" w:rsidP="00A26828">
      <w:pPr>
        <w:jc w:val="both"/>
      </w:pPr>
      <w:r>
        <w:t>MacKenzie, B. R., Eero, M., Ojaveer, H. Combined impacts of climate change, exploitation and a recovering seal population on expected cod population dynamics in the Baltic Sea during the 21</w:t>
      </w:r>
      <w:r w:rsidRPr="0000761A">
        <w:rPr>
          <w:vertAlign w:val="superscript"/>
        </w:rPr>
        <w:t>st</w:t>
      </w:r>
      <w:r>
        <w:t xml:space="preserve"> century. (In prep.)</w:t>
      </w:r>
    </w:p>
    <w:p w:rsidR="00A26828" w:rsidRDefault="00A26828" w:rsidP="0000761A">
      <w:pPr>
        <w:pBdr>
          <w:bottom w:val="single" w:sz="6" w:space="6" w:color="333333"/>
        </w:pBdr>
        <w:outlineLvl w:val="1"/>
        <w:rPr>
          <w:lang w:val="en-CA" w:eastAsia="da-DK"/>
        </w:rPr>
      </w:pPr>
    </w:p>
    <w:p w:rsidR="00F140DD" w:rsidRDefault="00F140DD" w:rsidP="0000761A">
      <w:pPr>
        <w:pBdr>
          <w:bottom w:val="single" w:sz="6" w:space="6" w:color="333333"/>
        </w:pBdr>
        <w:outlineLvl w:val="1"/>
        <w:rPr>
          <w:lang w:val="en-CA" w:eastAsia="da-DK"/>
        </w:rPr>
      </w:pPr>
    </w:p>
    <w:p w:rsidR="00F140DD" w:rsidRDefault="00F140DD" w:rsidP="00F140DD">
      <w:pPr>
        <w:tabs>
          <w:tab w:val="left" w:pos="0"/>
        </w:tabs>
        <w:rPr>
          <w:lang w:val="en-CA" w:eastAsia="da-DK"/>
        </w:rPr>
      </w:pPr>
    </w:p>
    <w:sectPr w:rsidR="00F140DD">
      <w:headerReference w:type="even" r:id="rId8"/>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3C" w:rsidRDefault="004A773C">
      <w:r>
        <w:separator/>
      </w:r>
    </w:p>
  </w:endnote>
  <w:endnote w:type="continuationSeparator" w:id="1">
    <w:p w:rsidR="004A773C" w:rsidRDefault="004A7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3C" w:rsidRDefault="004A773C">
      <w:r>
        <w:separator/>
      </w:r>
    </w:p>
  </w:footnote>
  <w:footnote w:type="continuationSeparator" w:id="1">
    <w:p w:rsidR="004A773C" w:rsidRDefault="004A7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0" w:rsidRDefault="00017490" w:rsidP="00991F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7490" w:rsidRDefault="00017490" w:rsidP="0001749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0" w:rsidRDefault="00017490" w:rsidP="00991F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45C">
      <w:rPr>
        <w:rStyle w:val="PageNumber"/>
        <w:noProof/>
      </w:rPr>
      <w:t>1</w:t>
    </w:r>
    <w:r>
      <w:rPr>
        <w:rStyle w:val="PageNumber"/>
      </w:rPr>
      <w:fldChar w:fldCharType="end"/>
    </w:r>
  </w:p>
  <w:p w:rsidR="00017490" w:rsidRPr="00017490" w:rsidRDefault="00017490" w:rsidP="00017490">
    <w:pPr>
      <w:pStyle w:val="Header"/>
      <w:ind w:right="360"/>
      <w:rPr>
        <w:rFonts w:ascii="Arial" w:hAnsi="Arial" w:cs="Arial"/>
        <w:noProof/>
        <w:sz w:val="16"/>
        <w:szCs w:val="16"/>
      </w:rPr>
    </w:pPr>
    <w:r w:rsidRPr="00017490">
      <w:rPr>
        <w:rFonts w:ascii="Arial" w:hAnsi="Arial" w:cs="Arial"/>
        <w:sz w:val="16"/>
        <w:szCs w:val="16"/>
      </w:rPr>
      <w:fldChar w:fldCharType="begin"/>
    </w:r>
    <w:r w:rsidRPr="00017490">
      <w:rPr>
        <w:rFonts w:ascii="Arial" w:hAnsi="Arial" w:cs="Arial"/>
        <w:sz w:val="16"/>
        <w:szCs w:val="16"/>
      </w:rPr>
      <w:instrText xml:space="preserve"> FILENAME \p </w:instrText>
    </w:r>
    <w:r w:rsidRPr="00017490">
      <w:rPr>
        <w:rFonts w:ascii="Arial" w:hAnsi="Arial" w:cs="Arial"/>
        <w:sz w:val="16"/>
        <w:szCs w:val="16"/>
      </w:rPr>
      <w:fldChar w:fldCharType="separate"/>
    </w:r>
    <w:r w:rsidRPr="00017490">
      <w:rPr>
        <w:rFonts w:ascii="Arial" w:hAnsi="Arial" w:cs="Arial"/>
        <w:noProof/>
        <w:sz w:val="16"/>
        <w:szCs w:val="16"/>
      </w:rPr>
      <w:t>C:\Brian\EU-7th\Eco_support\WP3_status_</w:t>
    </w:r>
    <w:r w:rsidR="00D66124">
      <w:rPr>
        <w:rFonts w:ascii="Arial" w:hAnsi="Arial" w:cs="Arial"/>
        <w:noProof/>
        <w:sz w:val="16"/>
        <w:szCs w:val="16"/>
      </w:rPr>
      <w:t>120410</w:t>
    </w:r>
    <w:r w:rsidRPr="00017490">
      <w:rPr>
        <w:rFonts w:ascii="Arial" w:hAnsi="Arial" w:cs="Arial"/>
        <w:noProof/>
        <w:sz w:val="16"/>
        <w:szCs w:val="16"/>
      </w:rPr>
      <w:t>.doc</w:t>
    </w:r>
    <w:r w:rsidRPr="00017490">
      <w:rPr>
        <w:rFonts w:ascii="Arial" w:hAnsi="Arial" w:cs="Arial"/>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1304"/>
  <w:hyphenationZone w:val="425"/>
  <w:characterSpacingControl w:val="doNotCompress"/>
  <w:footnotePr>
    <w:footnote w:id="0"/>
    <w:footnote w:id="1"/>
  </w:footnotePr>
  <w:endnotePr>
    <w:endnote w:id="0"/>
    <w:endnote w:id="1"/>
  </w:endnotePr>
  <w:compat/>
  <w:docVars>
    <w:docVar w:name="REFMGR.InstantFormat" w:val="&lt;InstantFormat&gt;&lt;Enabled&gt;0&lt;/Enabled&gt;&lt;ScanUnformatted&gt;1&lt;/ScanUnformatted&gt;&lt;ScanChanges&gt;1&lt;/ScanChanges&gt;&lt;/InstantFormat&gt;"/>
    <w:docVar w:name="REFMGR.Layout" w:val="&lt;Layout&gt;&lt;StartingRefnum&gt;C:\Brian\REfMan\A_Ecology.os&lt;/StartingRefnum&gt;&lt;FontName&gt;Times New Roman&lt;/FontName&gt;&lt;FontSize&gt;12&lt;/FontSize&gt;&lt;ReflistTitle&gt;Reference List&lt;/ReflistTitle&gt;&lt;SpaceAfter&gt;1&lt;/SpaceAfter&gt;&lt;ReflistOrder&gt;1&lt;/ReflistOrder&gt;&lt;CitationOrder&gt;0&lt;/CitationOrder&gt;&lt;NumberReferences&gt;0&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ian&lt;/item&gt;&lt;/Libraries&gt;&lt;/Databases&gt;"/>
  </w:docVars>
  <w:rsids>
    <w:rsidRoot w:val="00B903A3"/>
    <w:rsid w:val="0000761A"/>
    <w:rsid w:val="00017490"/>
    <w:rsid w:val="000B2D69"/>
    <w:rsid w:val="00131CAB"/>
    <w:rsid w:val="00155410"/>
    <w:rsid w:val="00226DDA"/>
    <w:rsid w:val="00232C12"/>
    <w:rsid w:val="00237F82"/>
    <w:rsid w:val="002943F4"/>
    <w:rsid w:val="003726C6"/>
    <w:rsid w:val="003D0EF0"/>
    <w:rsid w:val="00487BD6"/>
    <w:rsid w:val="004A6182"/>
    <w:rsid w:val="004A773C"/>
    <w:rsid w:val="004B4306"/>
    <w:rsid w:val="00564DBA"/>
    <w:rsid w:val="00581442"/>
    <w:rsid w:val="00991F44"/>
    <w:rsid w:val="00A06642"/>
    <w:rsid w:val="00A26828"/>
    <w:rsid w:val="00AA08DC"/>
    <w:rsid w:val="00AE6050"/>
    <w:rsid w:val="00B903A3"/>
    <w:rsid w:val="00D66124"/>
    <w:rsid w:val="00D91D92"/>
    <w:rsid w:val="00DA2149"/>
    <w:rsid w:val="00DB4777"/>
    <w:rsid w:val="00DF3179"/>
    <w:rsid w:val="00E1681F"/>
    <w:rsid w:val="00E67885"/>
    <w:rsid w:val="00F140DD"/>
    <w:rsid w:val="00F414B0"/>
    <w:rsid w:val="00FB54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3A3"/>
    <w:pPr>
      <w:suppressAutoHyphens/>
    </w:pPr>
    <w:rPr>
      <w:sz w:val="24"/>
      <w:szCs w:val="24"/>
      <w:lang w:val="en-US" w:eastAsia="ar-SA"/>
    </w:rPr>
  </w:style>
  <w:style w:type="paragraph" w:styleId="Heading1">
    <w:name w:val="heading 1"/>
    <w:basedOn w:val="Normal"/>
    <w:next w:val="Normal"/>
    <w:link w:val="Heading1Char"/>
    <w:qFormat/>
    <w:rsid w:val="00B903A3"/>
    <w:pPr>
      <w:keepNext/>
      <w:suppressAutoHyphens w:val="0"/>
      <w:outlineLvl w:val="0"/>
    </w:pPr>
    <w:rPr>
      <w:b/>
      <w:sz w:val="20"/>
      <w:szCs w:val="20"/>
      <w:lang w:val="en-GB"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semiHidden/>
    <w:rsid w:val="00B903A3"/>
    <w:rPr>
      <w:color w:val="0000FF"/>
      <w:u w:val="single"/>
    </w:rPr>
  </w:style>
  <w:style w:type="character" w:customStyle="1" w:styleId="Heading1Char">
    <w:name w:val="Heading 1 Char"/>
    <w:basedOn w:val="DefaultParagraphFont"/>
    <w:link w:val="Heading1"/>
    <w:rsid w:val="00B903A3"/>
    <w:rPr>
      <w:b/>
      <w:lang w:val="en-GB" w:eastAsia="nb-NO" w:bidi="ar-SA"/>
    </w:rPr>
  </w:style>
  <w:style w:type="character" w:customStyle="1" w:styleId="apple-style-span">
    <w:name w:val="apple-style-span"/>
    <w:basedOn w:val="DefaultParagraphFont"/>
    <w:rsid w:val="004A6182"/>
  </w:style>
  <w:style w:type="paragraph" w:styleId="Header">
    <w:name w:val="header"/>
    <w:basedOn w:val="Normal"/>
    <w:rsid w:val="00017490"/>
    <w:pPr>
      <w:tabs>
        <w:tab w:val="center" w:pos="4819"/>
        <w:tab w:val="right" w:pos="9638"/>
      </w:tabs>
    </w:pPr>
  </w:style>
  <w:style w:type="character" w:styleId="PageNumber">
    <w:name w:val="page number"/>
    <w:basedOn w:val="DefaultParagraphFont"/>
    <w:rsid w:val="00017490"/>
  </w:style>
  <w:style w:type="paragraph" w:styleId="Footer">
    <w:name w:val="footer"/>
    <w:basedOn w:val="Normal"/>
    <w:rsid w:val="00017490"/>
    <w:pPr>
      <w:tabs>
        <w:tab w:val="center" w:pos="4819"/>
        <w:tab w:val="right" w:pos="9638"/>
      </w:tabs>
    </w:pPr>
  </w:style>
  <w:style w:type="character" w:customStyle="1" w:styleId="Author">
    <w:name w:val="Author"/>
    <w:rsid w:val="00237F82"/>
    <w:rPr>
      <w:color w:val="auto"/>
    </w:rPr>
  </w:style>
  <w:style w:type="paragraph" w:styleId="ListParagraph">
    <w:name w:val="List Paragraph"/>
    <w:basedOn w:val="Normal"/>
    <w:uiPriority w:val="34"/>
    <w:qFormat/>
    <w:rsid w:val="00A26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es.dk/reports/BCC/2009/WGIAB0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5044-40E1-484A-9A23-89382345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1791</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WP3: Impact on the food-web (DTU, BNI, IOW, TMBL, IOPAS) </vt:lpstr>
    </vt:vector>
  </TitlesOfParts>
  <Company>Danmarks Fiskeriundersoegelser</Company>
  <LinksUpToDate>false</LinksUpToDate>
  <CharactersWithSpaces>12692</CharactersWithSpaces>
  <SharedDoc>false</SharedDoc>
  <HLinks>
    <vt:vector size="12" baseType="variant">
      <vt:variant>
        <vt:i4>3211306</vt:i4>
      </vt:variant>
      <vt:variant>
        <vt:i4>3</vt:i4>
      </vt:variant>
      <vt:variant>
        <vt:i4>0</vt:i4>
      </vt:variant>
      <vt:variant>
        <vt:i4>5</vt:i4>
      </vt:variant>
      <vt:variant>
        <vt:lpwstr>http://www.ices.dk/reports/BCC/2009/WGIAB09.pdf</vt:lpwstr>
      </vt:variant>
      <vt:variant>
        <vt:lpwstr/>
      </vt:variant>
      <vt:variant>
        <vt:i4>3211306</vt:i4>
      </vt:variant>
      <vt:variant>
        <vt:i4>0</vt:i4>
      </vt:variant>
      <vt:variant>
        <vt:i4>0</vt:i4>
      </vt:variant>
      <vt:variant>
        <vt:i4>5</vt:i4>
      </vt:variant>
      <vt:variant>
        <vt:lpwstr>http://www.ices.dk/reports/BCC/2009/WGIAB09.pdf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WP3: Impact on the food-web (DTU, BNI, IOW, TMBL, IOPAS) </dc:title>
  <dc:subject/>
  <dc:creator>Brian MacKenzie</dc:creator>
  <cp:keywords/>
  <dc:description/>
  <cp:lastModifiedBy>brm</cp:lastModifiedBy>
  <cp:revision>5</cp:revision>
  <dcterms:created xsi:type="dcterms:W3CDTF">2010-04-24T06:26:00Z</dcterms:created>
  <dcterms:modified xsi:type="dcterms:W3CDTF">2010-04-24T08:07:00Z</dcterms:modified>
</cp:coreProperties>
</file>